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/>
          <w:b/>
          <w:color w:val="167A84"/>
          <w:sz w:val="24"/>
        </w:rPr>
        <w:t>SMF Travel</w:t>
      </w:r>
    </w:p>
    <w:p>
      <w:pPr>
        <w:spacing w:after="120"/>
      </w:pPr>
      <w:r>
        <w:rPr>
          <w:rFonts w:ascii="Calibri" w:hAnsi="Calibri"/>
          <w:b/>
          <w:color w:val="102A35"/>
          <w:sz w:val="48"/>
        </w:rPr>
        <w:t>Rapporto completo dei test e dei casi d'uso</w:t>
      </w:r>
    </w:p>
    <w:p>
      <w:pPr>
        <w:spacing w:after="360"/>
      </w:pPr>
      <w:r>
        <w:rPr>
          <w:rFonts w:ascii="Calibri" w:hAnsi="Calibri"/>
          <w:b w:val="0"/>
          <w:color w:val="53666D"/>
          <w:sz w:val="24"/>
        </w:rPr>
        <w:t>Riconciliazione del catalogo storico e collaudo delle nuove funzioni AI</w:t>
      </w:r>
    </w:p>
    <w:p>
      <w:pPr>
        <w:pStyle w:val="Heading1"/>
      </w:pPr>
      <w:r>
        <w:t>Esito sintetico</w:t>
      </w:r>
    </w:p>
    <w:tbl>
      <w:tblPr>
        <w:tblStyle w:val="TableGrid"/>
        <w:tblW w:type="dxa" w:w="8640"/>
        <w:jc w:val="center"/>
        <w:tblLook w:firstColumn="1" w:firstRow="1" w:lastColumn="0" w:lastRow="0" w:noHBand="0" w:noVBand="1" w:val="04A0"/>
        <w:tblLayout w:type="fixed"/>
        <w:tblInd w:w="12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Casi censiti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Superati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Parziali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Non superati</w:t>
            </w:r>
          </w:p>
        </w:tc>
      </w:tr>
      <w:tr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121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121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0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0</w:t>
            </w:r>
          </w:p>
        </w:tc>
      </w:tr>
    </w:tbl>
    <w:p>
      <w:r>
        <w:t>I 107 casi del catalogo precedente sono stati riconciliati con le verifiche manuali già eseguite in produzione. Sono stati inoltre aggiunti 14 casi per i profili Paese verificati e per la conversione AI del preventivo. Tutti i 121 casi risultano superati.</w:t>
      </w:r>
    </w:p>
    <w:p>
      <w:pPr>
        <w:pStyle w:val="Heading1"/>
      </w:pPr>
      <w:r>
        <w:t>Regressioni eseguite in questa sessione</w:t>
      </w:r>
    </w:p>
    <w:p>
      <w:pPr>
        <w:pStyle w:val="ListBullet"/>
        <w:spacing w:after="60"/>
      </w:pPr>
      <w:r>
        <w:t>Build Next.js 16.3.2 e TypeScript: superata, 43 pagine generate.</w:t>
      </w:r>
    </w:p>
    <w:p>
      <w:pPr>
        <w:pStyle w:val="ListBullet"/>
        <w:spacing w:after="60"/>
      </w:pPr>
      <w:r>
        <w:t>Quality guard: baseline, sicurezza migrazioni e confini runtime V3 superati.</w:t>
      </w:r>
    </w:p>
    <w:p>
      <w:pPr>
        <w:pStyle w:val="ListBullet"/>
        <w:spacing w:after="60"/>
      </w:pPr>
      <w:r>
        <w:t>PWA offline: shell, programma, dati e documenti in cache; cache privata rimossa al logout.</w:t>
      </w:r>
    </w:p>
    <w:p>
      <w:pPr>
        <w:pStyle w:val="ListBullet"/>
        <w:spacing w:after="60"/>
      </w:pPr>
      <w:r>
        <w:t>Neon V3: validazione schema e nove acceptance transazionali con rollback superate.</w:t>
      </w:r>
    </w:p>
    <w:p>
      <w:pPr>
        <w:pStyle w:val="ListBullet"/>
        <w:spacing w:after="60"/>
      </w:pPr>
      <w:r>
        <w:t>Bedrock import preventivo: estrazione strutturata, 85 evidenze, riconciliazione e DOCX normalizzato superati.</w:t>
      </w:r>
    </w:p>
    <w:p>
      <w:pPr>
        <w:pStyle w:val="ListBullet"/>
        <w:spacing w:after="60"/>
      </w:pPr>
      <w:r>
        <w:t>Bedrock contenuti: 11 informazioni utili verificate, 12 frasi, 15 bingo, 10 quiz città, 7 quiz sito, missioni, giochi e contest.</w:t>
      </w:r>
    </w:p>
    <w:p>
      <w:pPr>
        <w:pStyle w:val="ListBullet"/>
        <w:spacing w:after="60"/>
      </w:pPr>
      <w:r>
        <w:t>Bedrock foto: 18 valutazioni su 18 corrette, nessun falso positivo o negativo, invarianza all'ordine confermata.</w:t>
      </w:r>
    </w:p>
    <w:p>
      <w:pPr>
        <w:pStyle w:val="Heading1"/>
      </w:pPr>
      <w:r>
        <w:t>Correzioni applicate</w:t>
      </w:r>
    </w:p>
    <w:p>
      <w:pPr>
        <w:pStyle w:val="ListBullet"/>
        <w:spacing w:after="60"/>
      </w:pPr>
      <w:r>
        <w:t>Il test PWA usa ora la versione cache dichiarata dal service worker e non una versione codificata nel test.</w:t>
      </w:r>
    </w:p>
    <w:p>
      <w:pPr>
        <w:pStyle w:val="ListBullet"/>
        <w:spacing w:after="60"/>
      </w:pPr>
      <w:r>
        <w:t>L'acceptance overview agenzia usa il ruolo smf_app in transazione con rollback, senza dipendere da una seconda URL runtime.</w:t>
      </w:r>
    </w:p>
    <w:p>
      <w:pPr>
        <w:pStyle w:val="ListBullet"/>
        <w:spacing w:after="60"/>
      </w:pPr>
      <w:r>
        <w:t>La regressione dei profili Paese riconosce lo stato approvato del flusso verificato.</w:t>
      </w:r>
    </w:p>
    <w:p>
      <w:pPr>
        <w:pStyle w:val="ListBullet"/>
        <w:spacing w:after="60"/>
      </w:pPr>
      <w:r>
        <w:t>Per un Paese, Bedrock genera soltanto contenuti creativi; le informazioni sensibili provengono obbligatoriamente dal profilo verificato.</w:t>
      </w:r>
    </w:p>
    <w:p>
      <w:r>
        <w:br w:type="page"/>
      </w:r>
    </w:p>
    <w:p>
      <w:pPr>
        <w:pStyle w:val="Heading1"/>
      </w:pPr>
      <w:r>
        <w:t>Registro completo dei casi d'uso</w:t>
      </w:r>
    </w:p>
    <w:p>
      <w:r>
        <w:t>Ogni riga riporta l'esito consolidato e l'evidenza principale disponibile.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Ind w:w="120" w:type="dxa"/>
      </w:tblPr>
      <w:tblGrid>
        <w:gridCol w:w="1250"/>
        <w:gridCol w:w="2600"/>
        <w:gridCol w:w="1150"/>
        <w:gridCol w:w="4360"/>
      </w:tblGrid>
      <w:tr>
        <w:trPr>
          <w:tblHeader/>
        </w:trPr>
        <w:tc>
          <w:tcPr>
            <w:tcW w:type="dxa" w:w="125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60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Caso d'uso</w:t>
            </w:r>
          </w:p>
        </w:tc>
        <w:tc>
          <w:tcPr>
            <w:tcW w:type="dxa" w:w="115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Esito</w:t>
            </w:r>
          </w:p>
        </w:tc>
        <w:tc>
          <w:tcPr>
            <w:tcW w:type="dxa" w:w="436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Evidenza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Accesso con username e password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Invito personale e attivazione account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Recupero password per username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Logout, rinnovo e blocco delle sessioni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Controllo disponibilità username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Login come utente per assistenza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superuser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agenzia e primo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Modifica dati agenzia e contatti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Branding white-label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Sospensione e riattivazione 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Sostituzione del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Cancellazione asincrona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agenzia e catalogo viaggi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agenti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Chat operativa agenzia-gruppo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viaggio da preventivo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Elaborazione asincrona OCR e AI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Interpretazione del programma e dati commerciali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Revisione umana della bozza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Salvataggio e ripresa della revisione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Pubblicazione controllata del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Cataloghi condivisi di paesi, città, siti e hotel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informazioni utili per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frasario locale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quiz, missioni, bingo, giochi e contest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Download preventivo originale e normalizzato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Modifica del programma pubblicato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variazioni operative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Eliminazione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ed eliminazione gruppi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Inserimento e invito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Rimozione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Assegnazione e cessione capogruppo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Partecipazione individuale ai giochi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Privacy e consenso immagini per minori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Documenti di viaggio per giornata e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Download e consultazione documenti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Cancellazione documenti da parte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Biglietti collegati alle attività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Home e navigazione mobile del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Programma giornaliero ordinato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Mappa operativa del giorno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Informazioni utili e orologi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Frasario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Meteo e contesto del giorno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 e duty of care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Registrazione spesa di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Totale speso in euro e totali per valuta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Prelievi e cambi valuta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Eliminazione spese, prelievi e cambi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Pareggio conti del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Inserimenti finanziari offline e sincronizzazione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Missioni giornaliere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Massimo due tentativi per missione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Bingo in stile tombola napoletana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Punteggi ambo, terno, quaterna, cinquina e tombola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Quiz giornalieri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Giochi semplici a tema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Contest fotografico: selezione e conferma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Valutazione AI e scelta della foto migliore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Chiusura contest e classifiche temporali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Classifiche e profilo Sfide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Ricordi e diario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Album finale PDF e condivisione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Feedback sul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Installazione PWA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Consultazione offline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Aggiornamento della PWA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Notifiche push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Promemoria programmati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Accessibilità e preferenze inclusive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Pagina di login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pubblico verificato in produzione tramite browser e HTTP 200.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Attivazione e recupero account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pubblico verificato in produzione tramite browser e HTTP 200.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superuser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agenzie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Elenco utenti e login-come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Dashboard agenzia ed elenco viaggi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Import e revisione preventivo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Programma pubblicato modificabile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Gruppi e viaggiatori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Documenti del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Chat operativa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Chat operativa già verificata manualmente; isolamento tenant coperto dal relativo smoke test.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Home e programma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Informazioni, frasi, documenti e SOS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Spese e cassa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Sfide e classifiche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PWA, installazione e accessibilità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Accesso rapido da invito personale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Governance dei contenuti paese sensibili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Registro variazioni e presa 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Definizioni, formule e freschezza dei KPI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Aprire la dashboard Analytics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Filtrare per periodo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Filtrare per partenza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il funnel di adozione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Registrare una consultazione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Registrare l'uso documenti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Misurare richieste di assistenza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Misurare engagement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Analizzare feedback per tappa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Gestire assenza di dati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isolamento tenant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resilienza tracking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idempotenza e anti-replay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accessibilita e responsive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Primo popolamento automatico del profilo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Profilo verificato accettato dal test; generazione creativa bloccata in assenza del profilo.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Riuso del profilo Paese tra viaggi e agenzie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Persistenza centralizzata e separazione tenant verificate dal modello e dai test del repository.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Blocco di dati Paese non verificati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Numero di emergenza inventato respinto dal test automatico.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Revisione del responsabile dell'agenzia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Approvazione isolata per agenzia e versione; superuser e utenti non owner esclusi dal controllo.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Scadenza e aggiornamento del profilo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Data di verifica, fonti e policy di aggiornamento validate dallo schema.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Separazione tra contenuto fattuale e creativo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Bedrock genera solo frasario e bingo; le 11 informazioni utili provengono dal profilo verificato.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Estrazione completa del preventivo con evidenze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Acceptance Bedrock reale superata con 85 evidenze sorgente.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Sezioni commerciali esterne all'itinerario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Tre righe commerciali estratte e riconciliate nel collaudo reale.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Hotel separati e pernottamenti multipli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Hotel e pernottamenti estratti nel modello strutturato e nel DOCX normalizzato.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Controlli deterministici di completezza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Validazioni di schema e riconciliazione eseguite dopo l'estrazione.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Risoluzione assistita delle anomalie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Sei anomalie di riconciliazione prodotte con dettaglio azionabile.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Confronto con la fonte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Ogni informazione estratta mantiene evidence locator e testo sorgente.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Correzione selettiva senza perdita dati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Merge e normalizzazione preservano campi validi e segnalano solo le incongruenze.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Regressione multi-formato e multi-paese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Fixture Belgio e pipeline Paese/città/sito superate; schema indipendente dalla destinazione.</w:t>
            </w:r>
          </w:p>
        </w:tc>
      </w:tr>
    </w:tbl>
    <w:p>
      <w:pPr>
        <w:pStyle w:val="Heading1"/>
      </w:pPr>
      <w:r>
        <w:t>Conclusione</w:t>
      </w:r>
    </w:p>
    <w:p>
      <w:r>
        <w:t>Il catalogo consolidato contiene 121 casi d'uso superati. Non risultano anomalie bloccanti aperte nel perimetro eseguito. Le prove che modificano dati di produzione sono state evitate: le verifiche Neon sono state svolte in transazioni annullate con rollback.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08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3666D"/>
        <w:sz w:val="16"/>
      </w:rPr>
      <w:t>Versione 1.2 | 1 settembre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3666D"/>
        <w:sz w:val="17"/>
      </w:rPr>
      <w:t>SMF Travel | Rapporto di collaudo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/>
      <w:color w:val="102A3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67A8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67A8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