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36 casi superati, 56 parzialmente coperti, 15 bloccati da prerequisiti esterni e 0 casi completamente non superati. Le suite strutturali, la build, il modello dati, le migrazioni fino alla 111,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111 verificate: KPI, governance fonti, contratti runtime, pgcrypto isolata e limite contest a due foto.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rollback: quiz e giochi salvati; contest verificato con due bozze, sostituzione, conferma e limite autoritativo.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rollback: quiz e giochi salvati; contest verificato con due bozze, sostituzione, conferma e limite autoritativo.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rollback: quiz e giochi salvati; contest verificato con due bozze, sostituzione, conferma e limite autoritativo.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