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42 casi superati, 57 parzialmente coperti, 8 bloccati da prerequisiti esterni e 0 casi completamente non superati. Le suite strutturali, la build, il modello dati, le migrazioni fino alla 112, Analytics, chat, gestione spese, governance contenuti, album PDF e PWA risultano conformi.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r>
              <w:t>42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r>
              <w:t>57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r>
              <w:t>8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112 verificate: KPI, governance fonti, contratti runtime, pgcrypto, contest a due foto e scrittura bingo globale.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  <w:tr>
        <w:tc>
          <w:tcPr>
            <w:tcW w:type="dxa" w:w="1872"/>
          </w:tcPr>
          <w:p>
            <w:r>
              <w:t>DEF-002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PWA offline</w:t>
            </w:r>
          </w:p>
        </w:tc>
        <w:tc>
          <w:tcPr>
            <w:tcW w:type="dxa" w:w="1872"/>
          </w:tcPr>
          <w:p>
            <w:r>
              <w:t>URL relativi non normalizzati e documenti salvati in una cache diversa da quella consultata offline.</w:t>
            </w:r>
          </w:p>
        </w:tc>
        <w:tc>
          <w:tcPr>
            <w:tcW w:type="dxa" w:w="1872"/>
          </w:tcPr>
          <w:p>
            <w:r>
              <w:t>Normalizzazione rispetto all'origine, cache media coerente e acceptance offline superata.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acceptance:v3:write-cutover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acceptance:bedrock:photo-evaluation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 invocazioni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Nova Lite EU: missione fotografica e due foto contest valutate tramite Tool Use; 6.457 token input e 359 output.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db:migrate:v3:bingo-write-scope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112 applicata: il bingo globale e scrivibile da una giornata operativa senza ampliare lo scope tenant.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acceptance:v3:photo-evidence-attempts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Missione approvata blocca ulteriori foto; due rifiuti bingo consumano i tentativi e il terzo e negato.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acceptance:bingo-scoring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7 scenari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Calcolo condiviso verificato: ambo 5, terno 10, quaterna 20, cinquina 30 per riga, tombola +50, massimo 140.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  <w:tr>
        <w:tc>
          <w:tcPr>
            <w:tcW w:type="dxa" w:w="2340"/>
          </w:tcPr>
          <w:p>
            <w:r>
              <w:t>acceptance:travel-album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PDF 2 pagine</w:t>
            </w:r>
          </w:p>
        </w:tc>
        <w:tc>
          <w:tcPr>
            <w:tcW w:type="dxa" w:w="2340"/>
          </w:tcPr>
          <w:p>
            <w:r>
              <w:t>PDF valido, metadati, contenuti, foto scoped al gruppo, testo estratto e rendering PNG verificati.</w:t>
            </w:r>
          </w:p>
        </w:tc>
      </w:tr>
      <w:tr>
        <w:tc>
          <w:tcPr>
            <w:tcW w:type="dxa" w:w="2340"/>
          </w:tcPr>
          <w:p>
            <w:r>
              <w:t>acceptance:pwa-offline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risorse + logout</w:t>
            </w:r>
          </w:p>
        </w:tc>
        <w:tc>
          <w:tcPr>
            <w:tcW w:type="dxa" w:w="2340"/>
          </w:tcPr>
          <w:p>
            <w:r>
              <w:t>Programma, JSON viaggio e documento consultati senza rete; cache private cancellate al logout.</w:t>
            </w:r>
          </w:p>
        </w:tc>
      </w:tr>
      <w:tr>
        <w:tc>
          <w:tcPr>
            <w:tcW w:type="dxa" w:w="2340"/>
          </w:tcPr>
          <w:p>
            <w:r>
              <w:t>acceptance:pwa-installability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9 immagini, 3 shortcut</w:t>
            </w:r>
          </w:p>
        </w:tc>
        <w:tc>
          <w:tcPr>
            <w:tcW w:type="dxa" w:w="2340"/>
          </w:tcPr>
          <w:p>
            <w:r>
              <w:t>Manifest, dimensioni asset, prompt Android, guida iOS, registrazione SW e aggiornamenti verificati.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PDF e download verificati con test ripetibile; foto limitate al gruppo del viaggiatore, metadati e contenuti corretti, rendering senza sovrapposizioni. Condivisione Web Share con fallback download presente.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Installabilita verificata automaticamente: manifest standalone portrait, icone maskable, Apple touch icon, splash iOS, tre shortcut, prompt Android e istruzioni Safari. Resta la prova fisica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Service worker verificato con acceptance ripetibile: download esplicito, programma, dati e documenti disponibili offline, cache private eliminate al logout. Resta il collaudo fisico su iOS e 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Sono dimostrati album PDF e pacchetto offline, incluso l'isolamento e la cancellazione delle cache private. Restano da completare i flussi infrastrutturali end-to-end e il collaudo PWA su dispositivi mobili reali.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