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0B5C1" w14:textId="77777777" w:rsidR="005F0E53" w:rsidRDefault="00F61AE0">
      <w:pPr>
        <w:pStyle w:val="Heading1"/>
      </w:pPr>
      <w:bookmarkStart w:id="0" w:name="X2ebb2f824cf02662a91e966539783e4be98a12a"/>
      <w:r>
        <w:t>FlexUp Collaboration – General Conditions (Collaboration-GC)</w:t>
      </w:r>
    </w:p>
    <w:p w14:paraId="6010B5C2" w14:textId="77777777" w:rsidR="005F0E53" w:rsidRDefault="00F61AE0">
      <w:pPr>
        <w:pStyle w:val="Published"/>
      </w:pPr>
      <w:r>
        <w:t>Published by FlexUp on xx February 2026</w:t>
      </w:r>
    </w:p>
    <w:p w14:paraId="6010B5C3" w14:textId="77777777" w:rsidR="005F0E53" w:rsidRDefault="00F61AE0">
      <w:pPr>
        <w:pStyle w:val="Heading2"/>
      </w:pPr>
      <w:bookmarkStart w:id="1" w:name="preamble"/>
      <w:r>
        <w:t>Preamble</w:t>
      </w:r>
    </w:p>
    <w:p w14:paraId="6010B5C4" w14:textId="77777777" w:rsidR="005F0E53" w:rsidRDefault="00F61AE0">
      <w:r>
        <w:t>The present FlexUp Collaboration – General Conditions (“</w:t>
      </w:r>
      <w:r>
        <w:rPr>
          <w:b/>
          <w:bCs/>
        </w:rPr>
        <w:t>Collaboration-GC</w:t>
      </w:r>
      <w:r>
        <w:t>”</w:t>
      </w:r>
      <w:r>
        <w:t>) set out the general terms and mechanisms that govern all Collaboration agreements that expressly refer to them. They apply uniformly worldwide, ensuring consistency, legal certainty, and modularity across jurisdictions.</w:t>
      </w:r>
    </w:p>
    <w:p w14:paraId="6010B5C5" w14:textId="77777777" w:rsidR="005F0E53" w:rsidRDefault="00F61AE0">
      <w:r>
        <w:t>The Collaboration-GC are incorporated by reference into each Collaboration - Special Conditions (“</w:t>
      </w:r>
      <w:r>
        <w:rPr>
          <w:b/>
          <w:bCs/>
        </w:rPr>
        <w:t>Collaboration-SC</w:t>
      </w:r>
      <w:r>
        <w:t>”), which identifies the Parties, specifies which contractual documents apply, and defines the parameters of the Collaboration relationship. Together with the other documents applicable to the Contract as specified in the Collaboration-SC, the Collaboration-GC form the binding agreement between the Parties.</w:t>
      </w:r>
    </w:p>
    <w:p w14:paraId="6010B5C6" w14:textId="77777777" w:rsidR="005F0E53" w:rsidRDefault="00F61AE0">
      <w:r>
        <w:t>All templates and documents composing the Contract are published and maintained by FlexUp and distributed under the FlexUp Licence (</w:t>
      </w:r>
      <w:hyperlink r:id="rId7">
        <w:r>
          <w:rPr>
            <w:rStyle w:val="Hyperlink"/>
          </w:rPr>
          <w:t>www.flexup.org</w:t>
        </w:r>
      </w:hyperlink>
      <w:r>
        <w:t>).</w:t>
      </w:r>
    </w:p>
    <w:p w14:paraId="6010B5C7" w14:textId="77777777" w:rsidR="005F0E53" w:rsidRDefault="00F61AE0">
      <w:pPr>
        <w:pStyle w:val="Article1"/>
      </w:pPr>
      <w:r>
        <w:t>Composition of the Contract</w:t>
      </w:r>
    </w:p>
    <w:p w14:paraId="6010B5C8" w14:textId="77777777" w:rsidR="005F0E53" w:rsidRDefault="00F61AE0">
      <w:pPr>
        <w:pStyle w:val="Article2"/>
      </w:pPr>
      <w:r>
        <w:t>The Contract may include the following documents, listed in descending order of priority:</w:t>
      </w:r>
    </w:p>
    <w:p w14:paraId="6010B5C9" w14:textId="77777777" w:rsidR="005F0E53" w:rsidRDefault="00F61AE0">
      <w:pPr>
        <w:pStyle w:val="Article3"/>
      </w:pPr>
      <w:r>
        <w:t>the FlexUp Collaboration – Order Special Conditions (“</w:t>
      </w:r>
      <w:r>
        <w:rPr>
          <w:b/>
          <w:bCs/>
        </w:rPr>
        <w:t>Collaboration-OSC</w:t>
      </w:r>
      <w:r>
        <w:t>”), if applicable, which is specific to a particular Order arising under the Contract,</w:t>
      </w:r>
    </w:p>
    <w:p w14:paraId="6010B5CA" w14:textId="77777777" w:rsidR="005F0E53" w:rsidRDefault="00F61AE0">
      <w:pPr>
        <w:pStyle w:val="Article3"/>
      </w:pPr>
      <w:r>
        <w:t>the FlexUp Collaboration – Special Conditions (“</w:t>
      </w:r>
      <w:r>
        <w:rPr>
          <w:b/>
          <w:bCs/>
        </w:rPr>
        <w:t>Collaboration-SC</w:t>
      </w:r>
      <w:r>
        <w:t>”), which identifies the Parties and the specific parameters of the Contract,</w:t>
      </w:r>
    </w:p>
    <w:p w14:paraId="6010B5CB" w14:textId="77777777" w:rsidR="005F0E53" w:rsidRDefault="00F61AE0">
      <w:pPr>
        <w:pStyle w:val="Article3"/>
      </w:pPr>
      <w:r>
        <w:t>the FlexUp Charter – Special Conditions (“</w:t>
      </w:r>
      <w:r>
        <w:rPr>
          <w:b/>
          <w:bCs/>
        </w:rPr>
        <w:t>Charter-SC</w:t>
      </w:r>
      <w:r>
        <w:t>”), if applicable, which is specific to the Project defined therein,</w:t>
      </w:r>
    </w:p>
    <w:p w14:paraId="6010B5CC" w14:textId="77777777" w:rsidR="005F0E53" w:rsidRDefault="00F61AE0">
      <w:pPr>
        <w:pStyle w:val="Article3"/>
      </w:pPr>
      <w:r>
        <w:t>one or more FlexUp Collaboration – Additional Conditions (“</w:t>
      </w:r>
      <w:r>
        <w:rPr>
          <w:b/>
          <w:bCs/>
        </w:rPr>
        <w:t>Collaboration-AC</w:t>
      </w:r>
      <w:r>
        <w:t>”), if applicable, which supplement or adapt the Contract to the relevant context or jurisdiction,</w:t>
      </w:r>
    </w:p>
    <w:p w14:paraId="6010B5CD" w14:textId="77777777" w:rsidR="005F0E53" w:rsidRDefault="00F61AE0">
      <w:pPr>
        <w:pStyle w:val="Article3"/>
      </w:pPr>
      <w:r>
        <w:t>the FlexUp Collaboration – General Conditions (“</w:t>
      </w:r>
      <w:r>
        <w:rPr>
          <w:b/>
          <w:bCs/>
        </w:rPr>
        <w:t>Collaboration-GC</w:t>
      </w:r>
      <w:r>
        <w:t>”), the present document,</w:t>
      </w:r>
    </w:p>
    <w:p w14:paraId="6010B5CE" w14:textId="77777777" w:rsidR="005F0E53" w:rsidRDefault="00F61AE0">
      <w:pPr>
        <w:pStyle w:val="Article3"/>
      </w:pPr>
      <w:r>
        <w:t>the FlexUp Charter – General Conditions (“</w:t>
      </w:r>
      <w:r>
        <w:rPr>
          <w:b/>
          <w:bCs/>
        </w:rPr>
        <w:t>Charter-GC</w:t>
      </w:r>
      <w:r>
        <w:t>”), if applicable, which applies to all FlexUp projects worldwide,</w:t>
      </w:r>
    </w:p>
    <w:p w14:paraId="6010B5CF" w14:textId="77777777" w:rsidR="005F0E53" w:rsidRDefault="00F61AE0">
      <w:pPr>
        <w:pStyle w:val="Article3"/>
      </w:pPr>
      <w:r>
        <w:t>the FlexUp General Conditions (“</w:t>
      </w:r>
      <w:r>
        <w:rPr>
          <w:b/>
          <w:bCs/>
        </w:rPr>
        <w:t>FlexUp-GC</w:t>
      </w:r>
      <w:r>
        <w:t>”), which applies to all FlexUp contracts that refer to them.</w:t>
      </w:r>
    </w:p>
    <w:p w14:paraId="6010B5D0" w14:textId="77777777" w:rsidR="005F0E53" w:rsidRDefault="00F61AE0">
      <w:pPr>
        <w:pStyle w:val="Article2"/>
      </w:pPr>
      <w:r>
        <w:t>The Contract is composed of the documents listed in Article 1.1 that are expressly designated as applicable in the Collaboration-SC, together with any additional documents expressly incorporated therein. The applicable documents form an inseparable contractual whole and are collectively referred to as the “</w:t>
      </w:r>
      <w:r>
        <w:rPr>
          <w:b/>
          <w:bCs/>
        </w:rPr>
        <w:t>Contract</w:t>
      </w:r>
      <w:r>
        <w:t>”.</w:t>
      </w:r>
    </w:p>
    <w:p w14:paraId="6010B5D1" w14:textId="77777777" w:rsidR="005F0E53" w:rsidRDefault="00F61AE0">
      <w:pPr>
        <w:pStyle w:val="Offset"/>
      </w:pPr>
      <w:r>
        <w:t>The Collaboration-GC are to be read together with the FlexUp-GC, which set out the general terms applicable to all Contracts under the FlexUp contractual framework.</w:t>
      </w:r>
    </w:p>
    <w:p w14:paraId="6010B5D2" w14:textId="77777777" w:rsidR="005F0E53" w:rsidRDefault="00F61AE0">
      <w:pPr>
        <w:pStyle w:val="Offset"/>
      </w:pPr>
      <w:r>
        <w:t>In the event of any inconsistency between these documents, the order of priority set out in Article 1.1 shall apply.</w:t>
      </w:r>
    </w:p>
    <w:p w14:paraId="6010B5D3" w14:textId="77777777" w:rsidR="005F0E53" w:rsidRDefault="00F61AE0">
      <w:pPr>
        <w:pStyle w:val="Article2"/>
      </w:pPr>
      <w:r>
        <w:t>For clarity, the following terminology applies:</w:t>
      </w:r>
    </w:p>
    <w:p w14:paraId="6010B5D4" w14:textId="77777777" w:rsidR="005F0E53" w:rsidRDefault="00F61AE0">
      <w:pPr>
        <w:pStyle w:val="Article3"/>
      </w:pPr>
      <w:r>
        <w:t>“</w:t>
      </w:r>
      <w:r>
        <w:rPr>
          <w:b/>
          <w:bCs/>
        </w:rPr>
        <w:t>Special Conditions</w:t>
      </w:r>
      <w:r>
        <w:t>” refers to the Collaboration-SC and, where applicable, to the Collaboration-OSC and Charter-SC.</w:t>
      </w:r>
    </w:p>
    <w:p w14:paraId="6010B5D5" w14:textId="77777777" w:rsidR="005F0E53" w:rsidRDefault="00F61AE0">
      <w:pPr>
        <w:pStyle w:val="Article3"/>
      </w:pPr>
      <w:r>
        <w:t>“</w:t>
      </w:r>
      <w:r>
        <w:rPr>
          <w:b/>
          <w:bCs/>
        </w:rPr>
        <w:t>General Conditions</w:t>
      </w:r>
      <w:r>
        <w:t>” refers to the Collaboration-GC, the FlexUp-GC and, where applicable, the Collaboration-AC and the Charter-GC.</w:t>
      </w:r>
    </w:p>
    <w:p w14:paraId="6010B5D6" w14:textId="77777777" w:rsidR="005F0E53" w:rsidRDefault="00F61AE0">
      <w:pPr>
        <w:pStyle w:val="Article3"/>
      </w:pPr>
      <w:r>
        <w:t>“</w:t>
      </w:r>
      <w:r>
        <w:rPr>
          <w:b/>
          <w:bCs/>
        </w:rPr>
        <w:t>Charter</w:t>
      </w:r>
      <w:r>
        <w:t>” refers collectively to the Charter-SC and the Charter-GC.</w:t>
      </w:r>
    </w:p>
    <w:p w14:paraId="6010B5D7" w14:textId="77777777" w:rsidR="005F0E53" w:rsidRDefault="00F61AE0">
      <w:pPr>
        <w:pStyle w:val="Article2"/>
      </w:pPr>
      <w:r>
        <w:lastRenderedPageBreak/>
        <w:t>The documents composing the General Conditions can be incorporated by reference and are not required to be appended to the Contract.</w:t>
      </w:r>
    </w:p>
    <w:p w14:paraId="6010B5D8" w14:textId="77777777" w:rsidR="005F0E53" w:rsidRDefault="00F61AE0">
      <w:pPr>
        <w:pStyle w:val="Article2"/>
      </w:pPr>
      <w:r>
        <w:t>For each document composing the General Conditions, the applicable version is the latest version published on the FlexUp website (</w:t>
      </w:r>
      <w:hyperlink r:id="rId8">
        <w:r>
          <w:rPr>
            <w:rStyle w:val="Hyperlink"/>
          </w:rPr>
          <w:t>www.flexup.org</w:t>
        </w:r>
      </w:hyperlink>
      <w:r>
        <w:t>) as of the date of signature of the Collaboration-SC or, where relevant, the applicable Collaboration-OSC, subject to the update mechanisms described in the General Conditions.</w:t>
      </w:r>
    </w:p>
    <w:p w14:paraId="6010B5D9" w14:textId="77777777" w:rsidR="005F0E53" w:rsidRDefault="00F61AE0">
      <w:pPr>
        <w:pStyle w:val="Article1"/>
      </w:pPr>
      <w:r>
        <w:t>Definitions</w:t>
      </w:r>
    </w:p>
    <w:p w14:paraId="6010B5DA" w14:textId="77777777" w:rsidR="005F0E53" w:rsidRDefault="00F61AE0">
      <w:r>
        <w:t xml:space="preserve">In this Contract, capitalised words are defined terms, whose definitions are given in this Article or, if not here, elsewhere in the documents composing the Contract or in the FlexUp Glossary (available on </w:t>
      </w:r>
      <w:hyperlink r:id="rId9">
        <w:r>
          <w:rPr>
            <w:rStyle w:val="Hyperlink"/>
          </w:rPr>
          <w:t>www.flexup.org/glossary</w:t>
        </w:r>
      </w:hyperlink>
      <w:r>
        <w:t>).</w:t>
      </w:r>
    </w:p>
    <w:p w14:paraId="6010B5DB" w14:textId="77777777" w:rsidR="005F0E53" w:rsidRDefault="00F61AE0">
      <w:pPr>
        <w:pStyle w:val="Article2"/>
      </w:pPr>
      <w:r>
        <w:t>“</w:t>
      </w:r>
      <w:r>
        <w:rPr>
          <w:b/>
          <w:bCs/>
        </w:rPr>
        <w:t>Partner</w:t>
      </w:r>
      <w:r>
        <w:t>” means the party identified as such in the Collaboration-SC, entering into a Collaboration relationship with FlexUp under this Contract.</w:t>
      </w:r>
    </w:p>
    <w:p w14:paraId="6010B5DC" w14:textId="77777777" w:rsidR="005F0E53" w:rsidRDefault="00F61AE0">
      <w:pPr>
        <w:pStyle w:val="Article2"/>
      </w:pPr>
      <w:r>
        <w:t>“</w:t>
      </w:r>
      <w:r>
        <w:rPr>
          <w:b/>
          <w:bCs/>
        </w:rPr>
        <w:t>Client</w:t>
      </w:r>
      <w:r>
        <w:t>” means any third party that enters into a commercial relationship with either Party as a result of, or in connection with the Contract, including but not limited to customers, subscribers, and users of services or products. A Client may also be referred to as a “potential Client” depending on the circumstances.</w:t>
      </w:r>
    </w:p>
    <w:p w14:paraId="6010B5DD" w14:textId="77777777" w:rsidR="005F0E53" w:rsidRDefault="00F61AE0">
      <w:pPr>
        <w:pStyle w:val="Article2"/>
      </w:pPr>
      <w:r>
        <w:t>“</w:t>
      </w:r>
      <w:r>
        <w:rPr>
          <w:b/>
          <w:bCs/>
        </w:rPr>
        <w:t>Order</w:t>
      </w:r>
      <w:r>
        <w:t>” means any specific engagement, assignment, contract, subscription, or transaction with a Client that generates revenue for either Party.</w:t>
      </w:r>
    </w:p>
    <w:p w14:paraId="6010B5DE" w14:textId="77777777" w:rsidR="005F0E53" w:rsidRDefault="00F61AE0">
      <w:pPr>
        <w:pStyle w:val="Article2"/>
      </w:pPr>
      <w:r>
        <w:t>“</w:t>
      </w:r>
      <w:r>
        <w:rPr>
          <w:b/>
          <w:bCs/>
        </w:rPr>
        <w:t>Activity</w:t>
      </w:r>
      <w:r>
        <w:t>” means any of the five value-chain activities defined in Article “Collaboration Activities and Compensation Rates”: Referral, Sales, Invoicing, IP and Brand Usage, and Execution.</w:t>
      </w:r>
    </w:p>
    <w:p w14:paraId="6010B5DF" w14:textId="77777777" w:rsidR="005F0E53" w:rsidRDefault="00F61AE0">
      <w:pPr>
        <w:pStyle w:val="Article2"/>
      </w:pPr>
      <w:r>
        <w:t>“</w:t>
      </w:r>
      <w:r>
        <w:rPr>
          <w:b/>
          <w:bCs/>
        </w:rPr>
        <w:t>Activity Allocation</w:t>
      </w:r>
      <w:r>
        <w:t>” means the determination, for a given Client and Order, of which Party performs each Activity, as recorded in accordance with Article “Client Engagement and Activity Allocation”.</w:t>
      </w:r>
    </w:p>
    <w:p w14:paraId="6010B5E0" w14:textId="77777777" w:rsidR="005F0E53" w:rsidRDefault="00F61AE0">
      <w:pPr>
        <w:pStyle w:val="Article2"/>
      </w:pPr>
      <w:r>
        <w:t>“</w:t>
      </w:r>
      <w:r>
        <w:rPr>
          <w:b/>
          <w:bCs/>
        </w:rPr>
        <w:t>Activity Fee</w:t>
      </w:r>
      <w:r>
        <w:t>” means the compensation payable to the Party that performs a given Activity, calculated as the applicable Activity Rate multiplied by the relevant Revenue Base.</w:t>
      </w:r>
    </w:p>
    <w:p w14:paraId="6010B5E1" w14:textId="77777777" w:rsidR="005F0E53" w:rsidRDefault="00F61AE0">
      <w:pPr>
        <w:pStyle w:val="Article2"/>
      </w:pPr>
      <w:r>
        <w:t>“</w:t>
      </w:r>
      <w:r>
        <w:rPr>
          <w:b/>
          <w:bCs/>
        </w:rPr>
        <w:t>Activity Rate</w:t>
      </w:r>
      <w:r>
        <w:t>” means the percentage applicable to each Activity, as set out in Article “Collaboration Activities and Compensation Rates” or as otherwise specified in the Collaboration-SC.</w:t>
      </w:r>
    </w:p>
    <w:p w14:paraId="6010B5E2" w14:textId="77777777" w:rsidR="005F0E53" w:rsidRDefault="00F61AE0">
      <w:pPr>
        <w:pStyle w:val="Article2"/>
      </w:pPr>
      <w:r>
        <w:t>“</w:t>
      </w:r>
      <w:r>
        <w:rPr>
          <w:b/>
          <w:bCs/>
        </w:rPr>
        <w:t>Revenue Base</w:t>
      </w:r>
      <w:r>
        <w:t>” means, for the purpose of calculating Activity Fees, the net amounts actually received in cleared funds from a Client, as further defined in Article “Revenue Base and Fee Calculation”.</w:t>
      </w:r>
    </w:p>
    <w:p w14:paraId="6010B5E3" w14:textId="77777777" w:rsidR="005F0E53" w:rsidRDefault="00F61AE0">
      <w:pPr>
        <w:pStyle w:val="Article2"/>
      </w:pPr>
      <w:r>
        <w:t>“</w:t>
      </w:r>
      <w:r>
        <w:rPr>
          <w:b/>
          <w:bCs/>
        </w:rPr>
        <w:t>Activity Fee Period</w:t>
      </w:r>
      <w:r>
        <w:t>” means the period during which Activity Fees are payable in respect of a given Client or Order, as set out in Article “Revenue Base and Fee Calculation”.</w:t>
      </w:r>
    </w:p>
    <w:p w14:paraId="6010B5E4" w14:textId="77777777" w:rsidR="005F0E53" w:rsidRDefault="00F61AE0">
      <w:pPr>
        <w:pStyle w:val="Article2"/>
      </w:pPr>
      <w:r>
        <w:t>“</w:t>
      </w:r>
      <w:r>
        <w:rPr>
          <w:b/>
          <w:bCs/>
        </w:rPr>
        <w:t>Performing Party</w:t>
      </w:r>
      <w:r>
        <w:t>” means, in respect of a given Activity, the Party that performs that Activity for a given Client or Order.</w:t>
      </w:r>
    </w:p>
    <w:p w14:paraId="6010B5E5" w14:textId="77777777" w:rsidR="005F0E53" w:rsidRDefault="00F61AE0">
      <w:pPr>
        <w:pStyle w:val="Article2"/>
      </w:pPr>
      <w:r>
        <w:t>“</w:t>
      </w:r>
      <w:r>
        <w:rPr>
          <w:b/>
          <w:bCs/>
        </w:rPr>
        <w:t>Collecting Party</w:t>
      </w:r>
      <w:r>
        <w:t>” means, in respect of a given Client or Order, the Party that invoices the Client and collects the Revenue Base.</w:t>
      </w:r>
    </w:p>
    <w:p w14:paraId="6010B5E6" w14:textId="7B078873" w:rsidR="005F0E53" w:rsidRDefault="005F0E53"/>
    <w:p w14:paraId="6010B5E7" w14:textId="77777777" w:rsidR="005F0E53" w:rsidRDefault="00F61AE0">
      <w:pPr>
        <w:jc w:val="center"/>
      </w:pPr>
      <w:r>
        <w:rPr>
          <w:noProof/>
        </w:rPr>
        <w:lastRenderedPageBreak/>
        <w:drawing>
          <wp:inline distT="0" distB="0" distL="0" distR="0" wp14:anchorId="6010B6A3" wp14:editId="6010B6A4">
            <wp:extent cx="6477000" cy="2589263"/>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_media/contracts.png"/>
                    <pic:cNvPicPr>
                      <a:picLocks noChangeAspect="1" noChangeArrowheads="1"/>
                    </pic:cNvPicPr>
                  </pic:nvPicPr>
                  <pic:blipFill>
                    <a:blip r:embed="rId10"/>
                    <a:stretch>
                      <a:fillRect/>
                    </a:stretch>
                  </pic:blipFill>
                  <pic:spPr bwMode="auto">
                    <a:xfrm>
                      <a:off x="0" y="0"/>
                      <a:ext cx="6477000" cy="2589263"/>
                    </a:xfrm>
                    <a:prstGeom prst="rect">
                      <a:avLst/>
                    </a:prstGeom>
                    <a:noFill/>
                    <a:ln w="9525">
                      <a:noFill/>
                      <a:headEnd/>
                      <a:tailEnd/>
                    </a:ln>
                  </pic:spPr>
                </pic:pic>
              </a:graphicData>
            </a:graphic>
          </wp:inline>
        </w:drawing>
      </w:r>
    </w:p>
    <w:p w14:paraId="6010B5E8" w14:textId="77777777" w:rsidR="005F0E53" w:rsidRDefault="005F0E53"/>
    <w:p w14:paraId="6010B5E9" w14:textId="77777777" w:rsidR="005F0E53" w:rsidRDefault="00F61AE0">
      <w:pPr>
        <w:pStyle w:val="Article1"/>
      </w:pPr>
      <w:r>
        <w:t>Object of the Contract</w:t>
      </w:r>
    </w:p>
    <w:p w14:paraId="6010B5EA" w14:textId="77777777" w:rsidR="005F0E53" w:rsidRDefault="00F61AE0">
      <w:pPr>
        <w:pStyle w:val="Article2"/>
      </w:pPr>
      <w:r>
        <w:t>The purpose of this Contract is to establish a bilateral, activity-based Collaboration between FlexUp and Partner, whereby each Party may contribute to the generation of revenue from Client by performing one or more of the Activities defined in this Contract.</w:t>
      </w:r>
    </w:p>
    <w:p w14:paraId="6010B5EB" w14:textId="77777777" w:rsidR="005F0E53" w:rsidRDefault="00F61AE0">
      <w:pPr>
        <w:pStyle w:val="Article2"/>
      </w:pPr>
      <w:r>
        <w:t>This Contract establishes a standardised value allocation model in which each Activity is assigned a fixed compensation rate, regardless of which Party performs it. Compensation is determined solely by which Activities a Party performs, not by its status or role within the Collaboration.</w:t>
      </w:r>
    </w:p>
    <w:p w14:paraId="6010B5EC" w14:textId="77777777" w:rsidR="005F0E53" w:rsidRDefault="00F61AE0">
      <w:pPr>
        <w:pStyle w:val="Article2"/>
      </w:pPr>
      <w:r>
        <w:t xml:space="preserve">Without prejudice to Article “Independence and absence of partnership” </w:t>
      </w:r>
      <w:r>
        <w:t>of the FlexUp-GC, the Parties do not owe fiduciary duties to each other unless expressly provided. Each Party contracts with Clients independently in its own name, and no Party has authority to bind, represent, or assume obligations on behalf of the other Party vis-a-vis any Client, unless expressly authorised In Writing for a specific transaction.</w:t>
      </w:r>
    </w:p>
    <w:p w14:paraId="6010B5ED" w14:textId="77777777" w:rsidR="005F0E53" w:rsidRDefault="00F61AE0">
      <w:pPr>
        <w:pStyle w:val="Article2"/>
      </w:pPr>
      <w:r>
        <w:t>The Collaboration relationship is expressly non-exclusive. Each Party may enter into other Collaboration, referral, commercial, partnership or business arrangements with third parties.</w:t>
      </w:r>
    </w:p>
    <w:p w14:paraId="6010B5EE" w14:textId="77777777" w:rsidR="005F0E53" w:rsidRDefault="00F61AE0">
      <w:pPr>
        <w:pStyle w:val="Article2"/>
      </w:pPr>
      <w:r>
        <w:rPr>
          <w:b/>
          <w:bCs/>
        </w:rPr>
        <w:t>Nature of this Contract.</w:t>
      </w:r>
      <w:r>
        <w:t xml:space="preserve"> The Parties enter into this Contract in the course of their trade, business, or profession. Each Party represents and warrants that it is not acting as a consumer and acknowledges that the regulatory frameworks applicable to consumer contracts do not apply to this Contract.</w:t>
      </w:r>
    </w:p>
    <w:p w14:paraId="6010B5EF" w14:textId="77777777" w:rsidR="005F0E53" w:rsidRDefault="00F61AE0">
      <w:pPr>
        <w:pStyle w:val="Article2"/>
      </w:pPr>
      <w:r>
        <w:rPr>
          <w:b/>
          <w:bCs/>
        </w:rPr>
        <w:t>Economic Nature of the Collaboration</w:t>
      </w:r>
      <w:r>
        <w:t>. The Activity Fees and any other compensation payable under this Contract, constitute contractual consideration for specific Activities performed by one Party for the benefit of the other Party.</w:t>
      </w:r>
    </w:p>
    <w:p w14:paraId="6010B5F0" w14:textId="77777777" w:rsidR="005F0E53" w:rsidRDefault="00F61AE0">
      <w:r>
        <w:t>Such compensation does not constitute a distribution of profits, participation in losses, or sharing of net income.</w:t>
      </w:r>
    </w:p>
    <w:p w14:paraId="6010B5F1" w14:textId="77777777" w:rsidR="005F0E53" w:rsidRDefault="00F61AE0">
      <w:pPr>
        <w:pStyle w:val="Article2"/>
      </w:pPr>
      <w:r>
        <w:t>Nothing in this Contract creates:</w:t>
      </w:r>
    </w:p>
    <w:p w14:paraId="6010B5F2" w14:textId="77777777" w:rsidR="005F0E53" w:rsidRDefault="00F61AE0">
      <w:pPr>
        <w:pStyle w:val="Article3"/>
      </w:pPr>
      <w:r>
        <w:t>a joint patrimony;</w:t>
      </w:r>
    </w:p>
    <w:p w14:paraId="6010B5F3" w14:textId="77777777" w:rsidR="005F0E53" w:rsidRDefault="00F61AE0">
      <w:pPr>
        <w:pStyle w:val="Article3"/>
      </w:pPr>
      <w:r>
        <w:t>a common fund;</w:t>
      </w:r>
    </w:p>
    <w:p w14:paraId="6010B5F4" w14:textId="77777777" w:rsidR="005F0E53" w:rsidRDefault="00F61AE0">
      <w:pPr>
        <w:pStyle w:val="Article3"/>
      </w:pPr>
      <w:r>
        <w:t>a pooled asset structure; or</w:t>
      </w:r>
    </w:p>
    <w:p w14:paraId="6010B5F5" w14:textId="77777777" w:rsidR="005F0E53" w:rsidRDefault="00F61AE0">
      <w:pPr>
        <w:pStyle w:val="Article3"/>
      </w:pPr>
      <w:r>
        <w:t>any form of undivided economic interest in the assets or revenues of the other Party.</w:t>
      </w:r>
    </w:p>
    <w:p w14:paraId="6010B5F6" w14:textId="77777777" w:rsidR="005F0E53" w:rsidRDefault="00F61AE0">
      <w:pPr>
        <w:pStyle w:val="Article2"/>
      </w:pPr>
      <w:r>
        <w:t>Each Party bears exclusively:</w:t>
      </w:r>
    </w:p>
    <w:p w14:paraId="6010B5F7" w14:textId="77777777" w:rsidR="005F0E53" w:rsidRDefault="00F61AE0">
      <w:pPr>
        <w:pStyle w:val="Article3"/>
      </w:pPr>
      <w:r>
        <w:t>its own operational costs;</w:t>
      </w:r>
    </w:p>
    <w:p w14:paraId="6010B5F8" w14:textId="77777777" w:rsidR="005F0E53" w:rsidRDefault="00F61AE0">
      <w:pPr>
        <w:pStyle w:val="Article3"/>
      </w:pPr>
      <w:r>
        <w:lastRenderedPageBreak/>
        <w:t>its own tax liabilities;</w:t>
      </w:r>
    </w:p>
    <w:p w14:paraId="6010B5F9" w14:textId="77777777" w:rsidR="005F0E53" w:rsidRDefault="00F61AE0">
      <w:pPr>
        <w:pStyle w:val="Article3"/>
      </w:pPr>
      <w:r>
        <w:t>its own contractual risks; and</w:t>
      </w:r>
    </w:p>
    <w:p w14:paraId="6010B5FA" w14:textId="77777777" w:rsidR="005F0E53" w:rsidRDefault="00F61AE0">
      <w:pPr>
        <w:pStyle w:val="Article3"/>
      </w:pPr>
      <w:r>
        <w:t>any losses arising from its own business activities.</w:t>
      </w:r>
    </w:p>
    <w:p w14:paraId="6010B5FB" w14:textId="77777777" w:rsidR="005F0E53" w:rsidRDefault="00F61AE0">
      <w:r>
        <w:t>No Party acquires any ownership interest in the business, assets, goodwill, or Clients of the other Party by reason of this Collaboration.</w:t>
      </w:r>
    </w:p>
    <w:p w14:paraId="6010B5FC" w14:textId="77777777" w:rsidR="005F0E53" w:rsidRDefault="00F61AE0">
      <w:r>
        <w:t>No Party shall be liable for the debts, defaults, or losses of the other Party solely by reason of this Collaboration.</w:t>
      </w:r>
    </w:p>
    <w:p w14:paraId="6010B5FD" w14:textId="77777777" w:rsidR="005F0E53" w:rsidRDefault="00F61AE0">
      <w:pPr>
        <w:pStyle w:val="Article2"/>
      </w:pPr>
      <w:r>
        <w:rPr>
          <w:b/>
          <w:bCs/>
        </w:rPr>
        <w:t>Independent Invoicing</w:t>
      </w:r>
      <w:r>
        <w:t>. Each Party contracts with and invoices Client in its own name and on its own behalf.</w:t>
      </w:r>
    </w:p>
    <w:p w14:paraId="6010B5FE" w14:textId="77777777" w:rsidR="005F0E53" w:rsidRDefault="00F61AE0">
      <w:pPr>
        <w:pStyle w:val="Offset"/>
      </w:pPr>
      <w:r>
        <w:t>The other Party has no direct claim against Client and shall not issue invoices in the name of the other Party unless expressly authorised in writing.</w:t>
      </w:r>
    </w:p>
    <w:p w14:paraId="2F7054E4" w14:textId="77777777" w:rsidR="005F0E53" w:rsidRDefault="005F0E53"/>
    <w:p w14:paraId="03757856" w14:textId="77777777" w:rsidR="005F0E53" w:rsidRDefault="00F61AE0">
      <w:pPr>
        <w:jc w:val="center"/>
      </w:pPr>
      <w:r>
        <w:rPr>
          <w:noProof/>
        </w:rPr>
        <w:drawing>
          <wp:inline distT="0" distB="0" distL="0" distR="0" wp14:anchorId="443ACAD6" wp14:editId="443ACAD7">
            <wp:extent cx="6477000" cy="2589263"/>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_media/contracts.png"/>
                    <pic:cNvPicPr>
                      <a:picLocks noChangeAspect="1" noChangeArrowheads="1"/>
                    </pic:cNvPicPr>
                  </pic:nvPicPr>
                  <pic:blipFill>
                    <a:blip r:embed="rId10"/>
                    <a:stretch>
                      <a:fillRect/>
                    </a:stretch>
                  </pic:blipFill>
                  <pic:spPr bwMode="auto">
                    <a:xfrm>
                      <a:off x="0" y="0"/>
                      <a:ext cx="6477000" cy="2589263"/>
                    </a:xfrm>
                    <a:prstGeom prst="rect">
                      <a:avLst/>
                    </a:prstGeom>
                    <a:noFill/>
                    <a:ln w="9525">
                      <a:noFill/>
                      <a:headEnd/>
                      <a:tailEnd/>
                    </a:ln>
                  </pic:spPr>
                </pic:pic>
              </a:graphicData>
            </a:graphic>
          </wp:inline>
        </w:drawing>
      </w:r>
    </w:p>
    <w:p w14:paraId="6010B602" w14:textId="4C9635FC" w:rsidR="005F0E53" w:rsidRDefault="005F0E53"/>
    <w:p w14:paraId="6010B603" w14:textId="77777777" w:rsidR="005F0E53" w:rsidRDefault="00F61AE0">
      <w:pPr>
        <w:pStyle w:val="Article1"/>
      </w:pPr>
      <w:r>
        <w:t>Collaboration Activities and Compensation Rates</w:t>
      </w:r>
    </w:p>
    <w:p w14:paraId="6010B604" w14:textId="77777777" w:rsidR="005F0E53" w:rsidRDefault="00F61AE0">
      <w:pPr>
        <w:pStyle w:val="Article2"/>
      </w:pPr>
      <w:r>
        <w:t>The value chain for revenue generated through the Collaboration is broken down into the following five Activities, each carrying a standard Activity Rate:</w:t>
      </w:r>
    </w:p>
    <w:p w14:paraId="6010B605" w14:textId="77777777" w:rsidR="005F0E53" w:rsidRDefault="005F0E53"/>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20" w:firstRow="1" w:lastRow="0" w:firstColumn="0" w:lastColumn="0" w:noHBand="0" w:noVBand="0"/>
      </w:tblPr>
      <w:tblGrid>
        <w:gridCol w:w="2047"/>
        <w:gridCol w:w="2456"/>
        <w:gridCol w:w="1524"/>
      </w:tblGrid>
      <w:tr w:rsidR="005F0E53" w14:paraId="6010B609" w14:textId="77777777">
        <w:trPr>
          <w:tblHeader/>
          <w:jc w:val="center"/>
        </w:trPr>
        <w:tc>
          <w:tcPr>
            <w:tcW w:w="0" w:type="auto"/>
            <w:shd w:val="clear" w:color="auto" w:fill="F2F2F2"/>
          </w:tcPr>
          <w:p w14:paraId="6010B606" w14:textId="77777777" w:rsidR="005F0E53" w:rsidRDefault="00F61AE0">
            <w:pPr>
              <w:jc w:val="left"/>
            </w:pPr>
            <w:r>
              <w:rPr>
                <w:b/>
                <w:bCs/>
              </w:rPr>
              <w:t>Activity</w:t>
            </w:r>
          </w:p>
        </w:tc>
        <w:tc>
          <w:tcPr>
            <w:tcW w:w="0" w:type="auto"/>
            <w:shd w:val="clear" w:color="auto" w:fill="F2F2F2"/>
          </w:tcPr>
          <w:p w14:paraId="6010B607" w14:textId="77777777" w:rsidR="005F0E53" w:rsidRDefault="00F61AE0">
            <w:pPr>
              <w:jc w:val="left"/>
            </w:pPr>
            <w:r>
              <w:rPr>
                <w:b/>
                <w:bCs/>
              </w:rPr>
              <w:t>Standard Activity Rate</w:t>
            </w:r>
          </w:p>
        </w:tc>
        <w:tc>
          <w:tcPr>
            <w:tcW w:w="0" w:type="auto"/>
            <w:shd w:val="clear" w:color="auto" w:fill="F2F2F2"/>
          </w:tcPr>
          <w:p w14:paraId="6010B608" w14:textId="77777777" w:rsidR="005F0E53" w:rsidRDefault="00F61AE0">
            <w:pPr>
              <w:jc w:val="left"/>
            </w:pPr>
            <w:r>
              <w:rPr>
                <w:b/>
                <w:bCs/>
              </w:rPr>
              <w:t>Scope</w:t>
            </w:r>
          </w:p>
        </w:tc>
      </w:tr>
      <w:tr w:rsidR="005F0E53" w14:paraId="6010B60D" w14:textId="77777777">
        <w:trPr>
          <w:jc w:val="center"/>
        </w:trPr>
        <w:tc>
          <w:tcPr>
            <w:tcW w:w="0" w:type="auto"/>
          </w:tcPr>
          <w:p w14:paraId="6010B60A" w14:textId="77777777" w:rsidR="005F0E53" w:rsidRDefault="00F61AE0">
            <w:pPr>
              <w:jc w:val="left"/>
            </w:pPr>
            <w:r>
              <w:t>Referral</w:t>
            </w:r>
          </w:p>
        </w:tc>
        <w:tc>
          <w:tcPr>
            <w:tcW w:w="0" w:type="auto"/>
          </w:tcPr>
          <w:p w14:paraId="6010B60B" w14:textId="77777777" w:rsidR="005F0E53" w:rsidRDefault="00F61AE0">
            <w:pPr>
              <w:jc w:val="left"/>
            </w:pPr>
            <w:r>
              <w:t>5%</w:t>
            </w:r>
          </w:p>
        </w:tc>
        <w:tc>
          <w:tcPr>
            <w:tcW w:w="0" w:type="auto"/>
          </w:tcPr>
          <w:p w14:paraId="6010B60C" w14:textId="77777777" w:rsidR="005F0E53" w:rsidRDefault="00F61AE0">
            <w:pPr>
              <w:jc w:val="left"/>
            </w:pPr>
            <w:r>
              <w:t>Client-wide</w:t>
            </w:r>
          </w:p>
        </w:tc>
      </w:tr>
      <w:tr w:rsidR="005F0E53" w14:paraId="6010B611" w14:textId="77777777">
        <w:trPr>
          <w:jc w:val="center"/>
        </w:trPr>
        <w:tc>
          <w:tcPr>
            <w:tcW w:w="0" w:type="auto"/>
          </w:tcPr>
          <w:p w14:paraId="6010B60E" w14:textId="77777777" w:rsidR="005F0E53" w:rsidRDefault="00F61AE0">
            <w:pPr>
              <w:jc w:val="left"/>
            </w:pPr>
            <w:r>
              <w:t>Sales</w:t>
            </w:r>
          </w:p>
        </w:tc>
        <w:tc>
          <w:tcPr>
            <w:tcW w:w="0" w:type="auto"/>
          </w:tcPr>
          <w:p w14:paraId="6010B60F" w14:textId="77777777" w:rsidR="005F0E53" w:rsidRDefault="00F61AE0">
            <w:pPr>
              <w:jc w:val="left"/>
            </w:pPr>
            <w:r>
              <w:t>10%</w:t>
            </w:r>
          </w:p>
        </w:tc>
        <w:tc>
          <w:tcPr>
            <w:tcW w:w="0" w:type="auto"/>
          </w:tcPr>
          <w:p w14:paraId="6010B610" w14:textId="77777777" w:rsidR="005F0E53" w:rsidRDefault="00F61AE0">
            <w:pPr>
              <w:jc w:val="left"/>
            </w:pPr>
            <w:r>
              <w:t>Order-specific</w:t>
            </w:r>
          </w:p>
        </w:tc>
      </w:tr>
      <w:tr w:rsidR="005F0E53" w14:paraId="6010B615" w14:textId="77777777">
        <w:trPr>
          <w:jc w:val="center"/>
        </w:trPr>
        <w:tc>
          <w:tcPr>
            <w:tcW w:w="0" w:type="auto"/>
          </w:tcPr>
          <w:p w14:paraId="6010B612" w14:textId="77777777" w:rsidR="005F0E53" w:rsidRDefault="00F61AE0">
            <w:pPr>
              <w:jc w:val="left"/>
            </w:pPr>
            <w:r>
              <w:t>Invoicing</w:t>
            </w:r>
          </w:p>
        </w:tc>
        <w:tc>
          <w:tcPr>
            <w:tcW w:w="0" w:type="auto"/>
          </w:tcPr>
          <w:p w14:paraId="6010B613" w14:textId="77777777" w:rsidR="005F0E53" w:rsidRDefault="00F61AE0">
            <w:pPr>
              <w:jc w:val="left"/>
            </w:pPr>
            <w:r>
              <w:t>5%</w:t>
            </w:r>
          </w:p>
        </w:tc>
        <w:tc>
          <w:tcPr>
            <w:tcW w:w="0" w:type="auto"/>
          </w:tcPr>
          <w:p w14:paraId="6010B614" w14:textId="77777777" w:rsidR="005F0E53" w:rsidRDefault="00F61AE0">
            <w:pPr>
              <w:jc w:val="left"/>
            </w:pPr>
            <w:r>
              <w:t>Order-specific</w:t>
            </w:r>
          </w:p>
        </w:tc>
      </w:tr>
      <w:tr w:rsidR="005F0E53" w14:paraId="6010B619" w14:textId="77777777">
        <w:trPr>
          <w:jc w:val="center"/>
        </w:trPr>
        <w:tc>
          <w:tcPr>
            <w:tcW w:w="0" w:type="auto"/>
          </w:tcPr>
          <w:p w14:paraId="6010B616" w14:textId="77777777" w:rsidR="005F0E53" w:rsidRDefault="00F61AE0">
            <w:pPr>
              <w:jc w:val="left"/>
            </w:pPr>
            <w:r>
              <w:t>IP and Brand Usage</w:t>
            </w:r>
          </w:p>
        </w:tc>
        <w:tc>
          <w:tcPr>
            <w:tcW w:w="0" w:type="auto"/>
          </w:tcPr>
          <w:p w14:paraId="6010B617" w14:textId="77777777" w:rsidR="005F0E53" w:rsidRDefault="00F61AE0">
            <w:pPr>
              <w:jc w:val="left"/>
            </w:pPr>
            <w:r>
              <w:t>10%</w:t>
            </w:r>
          </w:p>
        </w:tc>
        <w:tc>
          <w:tcPr>
            <w:tcW w:w="0" w:type="auto"/>
          </w:tcPr>
          <w:p w14:paraId="6010B618" w14:textId="77777777" w:rsidR="005F0E53" w:rsidRDefault="00F61AE0">
            <w:pPr>
              <w:jc w:val="left"/>
            </w:pPr>
            <w:r>
              <w:t>Order-specific</w:t>
            </w:r>
          </w:p>
        </w:tc>
      </w:tr>
      <w:tr w:rsidR="005F0E53" w14:paraId="6010B61D" w14:textId="77777777">
        <w:trPr>
          <w:jc w:val="center"/>
        </w:trPr>
        <w:tc>
          <w:tcPr>
            <w:tcW w:w="0" w:type="auto"/>
          </w:tcPr>
          <w:p w14:paraId="6010B61A" w14:textId="77777777" w:rsidR="005F0E53" w:rsidRDefault="00F61AE0">
            <w:pPr>
              <w:jc w:val="left"/>
            </w:pPr>
            <w:r>
              <w:t>Execution</w:t>
            </w:r>
          </w:p>
        </w:tc>
        <w:tc>
          <w:tcPr>
            <w:tcW w:w="0" w:type="auto"/>
          </w:tcPr>
          <w:p w14:paraId="6010B61B" w14:textId="77777777" w:rsidR="005F0E53" w:rsidRDefault="00F61AE0">
            <w:pPr>
              <w:jc w:val="left"/>
            </w:pPr>
            <w:r>
              <w:t>70%</w:t>
            </w:r>
          </w:p>
        </w:tc>
        <w:tc>
          <w:tcPr>
            <w:tcW w:w="0" w:type="auto"/>
          </w:tcPr>
          <w:p w14:paraId="6010B61C" w14:textId="77777777" w:rsidR="005F0E53" w:rsidRDefault="00F61AE0">
            <w:pPr>
              <w:jc w:val="left"/>
            </w:pPr>
            <w:r>
              <w:t>Order-specific</w:t>
            </w:r>
          </w:p>
        </w:tc>
      </w:tr>
      <w:tr w:rsidR="005F0E53" w14:paraId="6010B621" w14:textId="77777777">
        <w:trPr>
          <w:jc w:val="center"/>
        </w:trPr>
        <w:tc>
          <w:tcPr>
            <w:tcW w:w="0" w:type="auto"/>
          </w:tcPr>
          <w:p w14:paraId="6010B61E" w14:textId="77777777" w:rsidR="005F0E53" w:rsidRDefault="00F61AE0">
            <w:pPr>
              <w:jc w:val="left"/>
            </w:pPr>
            <w:r>
              <w:rPr>
                <w:b/>
                <w:bCs/>
              </w:rPr>
              <w:t>Total</w:t>
            </w:r>
          </w:p>
        </w:tc>
        <w:tc>
          <w:tcPr>
            <w:tcW w:w="0" w:type="auto"/>
          </w:tcPr>
          <w:p w14:paraId="6010B61F" w14:textId="77777777" w:rsidR="005F0E53" w:rsidRDefault="00F61AE0">
            <w:pPr>
              <w:jc w:val="left"/>
            </w:pPr>
            <w:r>
              <w:rPr>
                <w:b/>
                <w:bCs/>
              </w:rPr>
              <w:t>100%</w:t>
            </w:r>
          </w:p>
        </w:tc>
        <w:tc>
          <w:tcPr>
            <w:tcW w:w="0" w:type="auto"/>
          </w:tcPr>
          <w:p w14:paraId="6010B620" w14:textId="77777777" w:rsidR="005F0E53" w:rsidRDefault="005F0E53"/>
        </w:tc>
      </w:tr>
    </w:tbl>
    <w:p w14:paraId="6010B622" w14:textId="77777777" w:rsidR="005F0E53" w:rsidRDefault="005F0E53"/>
    <w:p w14:paraId="6010B623" w14:textId="77777777" w:rsidR="005F0E53" w:rsidRDefault="00F61AE0">
      <w:pPr>
        <w:pStyle w:val="Offset"/>
      </w:pPr>
      <w:r>
        <w:lastRenderedPageBreak/>
        <w:t>The Activity Rates specified above are the default rates. The Collaboration-SC may specify different rates, provided that the total of all Activity Rates equals one hundred per cent (100%).</w:t>
      </w:r>
    </w:p>
    <w:p w14:paraId="6010B624" w14:textId="77777777" w:rsidR="005F0E53" w:rsidRDefault="00F61AE0">
      <w:pPr>
        <w:pStyle w:val="Offset"/>
      </w:pPr>
      <w:r>
        <w:t>The Activity Rates reflect a contractual allocation of gross revenue for services rendered and do not constitute a sharing of profits, losses, or joint assets.</w:t>
      </w:r>
    </w:p>
    <w:p w14:paraId="6010B625" w14:textId="77777777" w:rsidR="005F0E53" w:rsidRDefault="00F61AE0">
      <w:pPr>
        <w:pStyle w:val="Article2"/>
      </w:pPr>
      <w:r>
        <w:rPr>
          <w:b/>
          <w:bCs/>
        </w:rPr>
        <w:t>Referral Activity</w:t>
      </w:r>
      <w:r>
        <w:t xml:space="preserve"> (5%). The Referral Activity consists of introducing a prospective Client to the other Party, where such introduction leads to a first meeting or initial engagement and effective cause of a commercial relationship. The Referral Activity is client-wide: once a Party has referred a Client, the Referral Activity Fee applies to all revenue from that Client for the duration of the Activity Fee Period, regardless of the number or nature of Orders. The detailed mechanics of the Referral Activity are set out in Art</w:t>
      </w:r>
      <w:r>
        <w:t>icle “Referral Activity”.</w:t>
      </w:r>
    </w:p>
    <w:p w14:paraId="6010B626" w14:textId="77777777" w:rsidR="005F0E53" w:rsidRDefault="00F61AE0">
      <w:pPr>
        <w:pStyle w:val="Article2"/>
      </w:pPr>
      <w:r>
        <w:rPr>
          <w:b/>
          <w:bCs/>
        </w:rPr>
        <w:t>Sales Activity</w:t>
      </w:r>
      <w:r>
        <w:t xml:space="preserve"> (10%). The Sales Activity consists of conducting the sales process for a specific Order, including qualification of the opportunity, preparation and presentation of the commercial proposal, negotiation of terms, and closing the transaction, provided that such Party plays a material and primary role in closing the transaction. The Sales Activity is order-specific: the Activity Fee applies only to the specific Order that the Performing Party has sold, or in the case of a Recurring-Order contract, for all the</w:t>
      </w:r>
      <w:r>
        <w:t xml:space="preserve"> similar orders in this recurrence. A new Sales Activity may be performed by either Party for subsequent Orders with the same Client, ensuring a continuous incentive to originate new business.</w:t>
      </w:r>
    </w:p>
    <w:p w14:paraId="6010B627" w14:textId="77777777" w:rsidR="005F0E53" w:rsidRDefault="00F61AE0">
      <w:pPr>
        <w:pStyle w:val="Article2"/>
      </w:pPr>
      <w:r>
        <w:rPr>
          <w:b/>
          <w:bCs/>
        </w:rPr>
        <w:t>Invoicing Activity</w:t>
      </w:r>
      <w:r>
        <w:t xml:space="preserve"> (5%). The Invoicing Activity consists of assuming the administrative and financial responsibility for invoicing the Client, collecting payment, and bearing the associated credit risk for a given Order. The Party performing the Invoicing Activity is the Collecting Party for that Order and acts in its own name and not as agent of the other Party, unless expressly agreed otherwise in writing.</w:t>
      </w:r>
    </w:p>
    <w:p w14:paraId="6010B628" w14:textId="77777777" w:rsidR="005F0E53" w:rsidRDefault="00F61AE0">
      <w:pPr>
        <w:pStyle w:val="Article2"/>
      </w:pPr>
      <w:r>
        <w:rPr>
          <w:b/>
          <w:bCs/>
        </w:rPr>
        <w:t>IP and Brand Usage Activity</w:t>
      </w:r>
      <w:r>
        <w:t xml:space="preserve"> (10%). The IP and Brand Usage Activity applies when services or products delivered to the Client are provided using the intellectual property, brand, tools, platform, methods, or proprietary systems of one of the Parties (“</w:t>
      </w:r>
      <w:r>
        <w:rPr>
          <w:b/>
          <w:bCs/>
        </w:rPr>
        <w:t>Contributing IP Party</w:t>
      </w:r>
      <w:r>
        <w:t>”). This includes, without limitation, the use of the FlexUp App, the FlexUp Economic Model, FlexUp-developed methodologies, templates, or the FlexUp brand. The IP and Brand Usage Activity Fee is payable to the Contributing IP Party.</w:t>
      </w:r>
    </w:p>
    <w:p w14:paraId="6010B629" w14:textId="77777777" w:rsidR="005F0E53" w:rsidRDefault="00F61AE0">
      <w:pPr>
        <w:pStyle w:val="Article2"/>
      </w:pPr>
      <w:r>
        <w:rPr>
          <w:b/>
          <w:bCs/>
        </w:rPr>
        <w:t>Execution Activity</w:t>
      </w:r>
      <w:r>
        <w:t xml:space="preserve"> (70%). The Execution Activity consists of the actual delivery of services, products, or other value to the Client under a given Order, including advisory, consulting, operational, or technical services. The Party performing the Execution Activity is responsible for the quality, timeliness, conformity of the deliverables, and is solely responsibile toward the Client for the deliverables it performs.</w:t>
      </w:r>
    </w:p>
    <w:p w14:paraId="6010B62A" w14:textId="77777777" w:rsidR="005F0E53" w:rsidRDefault="00F61AE0">
      <w:pPr>
        <w:pStyle w:val="Article2"/>
      </w:pPr>
      <w:r>
        <w:rPr>
          <w:b/>
          <w:bCs/>
        </w:rPr>
        <w:t>Stacking</w:t>
      </w:r>
      <w:r>
        <w:t>. A single Party may perform multiple Activities for the same Client and Order. In such case, the Activity Fees for all Activities performed by that Party are cumulative (“</w:t>
      </w:r>
      <w:r>
        <w:rPr>
          <w:b/>
          <w:bCs/>
        </w:rPr>
        <w:t>stacking</w:t>
      </w:r>
      <w:r>
        <w:t>”). The total of all Activity Fees for a given Order shall always equal one hundred per cent (100%) of the Revenue Base.</w:t>
      </w:r>
    </w:p>
    <w:p w14:paraId="6010B62B" w14:textId="77777777" w:rsidR="005F0E53" w:rsidRDefault="00F61AE0">
      <w:pPr>
        <w:pStyle w:val="Article2"/>
      </w:pPr>
      <w:r>
        <w:rPr>
          <w:b/>
          <w:bCs/>
        </w:rPr>
        <w:t>Default Allocation</w:t>
      </w:r>
      <w:r>
        <w:t>. In the absence of a recorded Activity Allocation for a given Order, the following defaults apply:</w:t>
      </w:r>
    </w:p>
    <w:p w14:paraId="6010B62C" w14:textId="77777777" w:rsidR="005F0E53" w:rsidRDefault="00F61AE0">
      <w:pPr>
        <w:pStyle w:val="Article3"/>
      </w:pPr>
      <w:r>
        <w:t>the Party that invoices the Client is deemed to perform the Invoicing Activity;</w:t>
      </w:r>
    </w:p>
    <w:p w14:paraId="6010B62D" w14:textId="77777777" w:rsidR="005F0E53" w:rsidRDefault="00F61AE0">
      <w:pPr>
        <w:pStyle w:val="Article3"/>
      </w:pPr>
      <w:r>
        <w:t>the Party whose intellectual property, brand, or platform is used is deemed to perform the IP and Brand Usage Activity;</w:t>
      </w:r>
    </w:p>
    <w:p w14:paraId="6010B62E" w14:textId="77777777" w:rsidR="005F0E53" w:rsidRDefault="00F61AE0">
      <w:pPr>
        <w:pStyle w:val="Article3"/>
      </w:pPr>
      <w:r>
        <w:t>the Party that delivers the services is deemed to perform the Execution Activity; and</w:t>
      </w:r>
    </w:p>
    <w:p w14:paraId="6010B62F" w14:textId="77777777" w:rsidR="005F0E53" w:rsidRDefault="00F61AE0">
      <w:pPr>
        <w:pStyle w:val="Article3"/>
      </w:pPr>
      <w:r>
        <w:t>the Referral and Sales Activities are deemed not allocated, and no Activity Fee is due for those Activities unless expressly recorded.</w:t>
      </w:r>
    </w:p>
    <w:p w14:paraId="6010B630" w14:textId="77777777" w:rsidR="005F0E53" w:rsidRDefault="00F61AE0">
      <w:pPr>
        <w:pStyle w:val="Article1"/>
      </w:pPr>
      <w:r>
        <w:t>Client Engagement and Activity Allocation</w:t>
      </w:r>
    </w:p>
    <w:p w14:paraId="6010B631" w14:textId="77777777" w:rsidR="005F0E53" w:rsidRDefault="00F61AE0">
      <w:pPr>
        <w:pStyle w:val="Article2"/>
      </w:pPr>
      <w:r>
        <w:rPr>
          <w:b/>
          <w:bCs/>
        </w:rPr>
        <w:t>Registration of Clients</w:t>
      </w:r>
      <w:r>
        <w:t>. When either Party identifies a prospective Client or brings it into the Collaboration, that Party shall notify the other Party within five (5) business days of first contact with the prospective Client, and register the Client through the channels specified in the Collaboration-SC.</w:t>
      </w:r>
    </w:p>
    <w:p w14:paraId="6010B632" w14:textId="77777777" w:rsidR="005F0E53" w:rsidRDefault="00F61AE0">
      <w:pPr>
        <w:pStyle w:val="Offset"/>
      </w:pPr>
      <w:r>
        <w:lastRenderedPageBreak/>
        <w:t>Failure to register within this period may result in loss of priority for Referral Activity purposes.</w:t>
      </w:r>
    </w:p>
    <w:p w14:paraId="6010B633" w14:textId="77777777" w:rsidR="005F0E53" w:rsidRDefault="00F61AE0">
      <w:pPr>
        <w:pStyle w:val="Article2"/>
      </w:pPr>
      <w:r>
        <w:rPr>
          <w:b/>
          <w:bCs/>
        </w:rPr>
        <w:t>Activity Allocation</w:t>
      </w:r>
      <w:r>
        <w:t>. For each Client and each Order, the Parties shall agree on an Activity Allocation that records which Party performs each Activity. The Activity Allocation may be recorded through the FlexUp App, a written form, or any other means designated in the Collaboration-SC.</w:t>
      </w:r>
    </w:p>
    <w:p w14:paraId="6010B634" w14:textId="77777777" w:rsidR="005F0E53" w:rsidRDefault="00F61AE0">
      <w:pPr>
        <w:pStyle w:val="Article2"/>
      </w:pPr>
      <w:r>
        <w:rPr>
          <w:b/>
          <w:bCs/>
        </w:rPr>
        <w:t>Validation</w:t>
      </w:r>
      <w:r>
        <w:t>. The Activity Allocation shall be confirmed by both Parties In Writing before the commencement of services to the Client, or, if not confirmed before commencement, within fifteen (15) business days following the start of services. If no Activity Allocation is confirmed within this period, the default allocation set out in Article “Collaboration Activities and Compensation Rates” shall apply.</w:t>
      </w:r>
    </w:p>
    <w:p w14:paraId="6010B635" w14:textId="77777777" w:rsidR="005F0E53" w:rsidRDefault="00F61AE0">
      <w:pPr>
        <w:pStyle w:val="Article2"/>
      </w:pPr>
      <w:r>
        <w:rPr>
          <w:b/>
          <w:bCs/>
        </w:rPr>
        <w:t>Modification</w:t>
      </w:r>
      <w:r>
        <w:t>. An Activity Allocation may be modified for future Orders or future periods with the written agreement of both Parties. Modifications do not apply retroactively to revenue already earned or invoiced.</w:t>
      </w:r>
    </w:p>
    <w:p w14:paraId="6010B636" w14:textId="77777777" w:rsidR="005F0E53" w:rsidRDefault="00F61AE0">
      <w:pPr>
        <w:pStyle w:val="Article2"/>
      </w:pPr>
      <w:r>
        <w:rPr>
          <w:b/>
          <w:bCs/>
        </w:rPr>
        <w:t>Disputes</w:t>
      </w:r>
      <w:r>
        <w:t>. If the Parties disagree on the Activity Allocation for a given Client or Order, they shall discuss in good faith to reach agreement. Pending resolution, the default allocation set out in Article “Collaboration Activities and Compensation Rates” shall apply provisionally.</w:t>
      </w:r>
    </w:p>
    <w:p w14:paraId="6010B637" w14:textId="77777777" w:rsidR="005F0E53" w:rsidRDefault="00F61AE0">
      <w:pPr>
        <w:pStyle w:val="Offset"/>
      </w:pPr>
      <w:r>
        <w:t>If no agreement is reached within ten (10) business days, either Party may refer the matter to dispute resolution under the FlexUp-GC.</w:t>
      </w:r>
    </w:p>
    <w:p w14:paraId="6010B638" w14:textId="77777777" w:rsidR="005F0E53" w:rsidRDefault="00F61AE0">
      <w:pPr>
        <w:pStyle w:val="Article2"/>
      </w:pPr>
      <w:r>
        <w:rPr>
          <w:b/>
          <w:bCs/>
        </w:rPr>
        <w:t>Data Protection</w:t>
      </w:r>
      <w:r>
        <w:t>. The Parties shall ensure that any sharing of personal data relating to Clients or their representatives complies with all applicable data protection laws, including obtaining all necessary consents before sharing such data. The provisions of Article “Data Protection” of the FlexUp-GC apply.</w:t>
      </w:r>
    </w:p>
    <w:p w14:paraId="6010B639" w14:textId="77777777" w:rsidR="005F0E53" w:rsidRDefault="00F61AE0">
      <w:pPr>
        <w:pStyle w:val="Offset"/>
      </w:pPr>
      <w:r>
        <w:t>Unless otherwise agreed In Writing, each Party acts as an independent data controller with respect to personal data it receives under this Contract.</w:t>
      </w:r>
    </w:p>
    <w:p w14:paraId="6010B63A" w14:textId="77777777" w:rsidR="005F0E53" w:rsidRDefault="00F61AE0">
      <w:pPr>
        <w:pStyle w:val="Article1"/>
      </w:pPr>
      <w:r>
        <w:t>Referral Activity</w:t>
      </w:r>
    </w:p>
    <w:p w14:paraId="6010B63B" w14:textId="77777777" w:rsidR="005F0E53" w:rsidRDefault="00F61AE0">
      <w:pPr>
        <w:pStyle w:val="Article2"/>
      </w:pPr>
      <w:r>
        <w:rPr>
          <w:b/>
          <w:bCs/>
        </w:rPr>
        <w:t>Referral Process</w:t>
      </w:r>
      <w:r>
        <w:t>. A Referral occurs when one Party (“</w:t>
      </w:r>
      <w:r>
        <w:rPr>
          <w:b/>
          <w:bCs/>
        </w:rPr>
        <w:t>Referring Party</w:t>
      </w:r>
      <w:r>
        <w:t>”) introduces a prospective Client to the other Party (“</w:t>
      </w:r>
      <w:r>
        <w:rPr>
          <w:b/>
          <w:bCs/>
        </w:rPr>
        <w:t>Receiving Party</w:t>
      </w:r>
      <w:r>
        <w:t>”) through any means, including personal introductions, email introductions, referral links, online forms, or any other channel agreed between the Parties.</w:t>
      </w:r>
    </w:p>
    <w:p w14:paraId="6010B63C" w14:textId="77777777" w:rsidR="005F0E53" w:rsidRDefault="00F61AE0">
      <w:pPr>
        <w:pStyle w:val="Article2"/>
      </w:pPr>
      <w:r>
        <w:rPr>
          <w:b/>
          <w:bCs/>
        </w:rPr>
        <w:t>Acceptance of a Referral</w:t>
      </w:r>
      <w:r>
        <w:t>. A Referral shall be deemed accepted when Receiving Party acknowledges the introduction In Writing or engages with the prospective Client following the introduction. Receiving Party may reject a Referral if, at the time of introduction, the prospective Client:</w:t>
      </w:r>
    </w:p>
    <w:p w14:paraId="6010B63D" w14:textId="77777777" w:rsidR="005F0E53" w:rsidRDefault="00F61AE0">
      <w:pPr>
        <w:pStyle w:val="Article3"/>
      </w:pPr>
      <w:r>
        <w:t>was already in Receiving Party’s pipeline, CRM, or client portfolio;</w:t>
      </w:r>
    </w:p>
    <w:p w14:paraId="6010B63E" w14:textId="77777777" w:rsidR="005F0E53" w:rsidRDefault="00F61AE0">
      <w:pPr>
        <w:pStyle w:val="Article3"/>
      </w:pPr>
      <w:r>
        <w:t>was in active negotiation with Receiving Party;</w:t>
      </w:r>
    </w:p>
    <w:p w14:paraId="6010B63F" w14:textId="77777777" w:rsidR="005F0E53" w:rsidRDefault="00F61AE0">
      <w:pPr>
        <w:pStyle w:val="Article3"/>
      </w:pPr>
      <w:r>
        <w:t>was previously referred by a third party; or</w:t>
      </w:r>
    </w:p>
    <w:p w14:paraId="6010B640" w14:textId="77777777" w:rsidR="005F0E53" w:rsidRDefault="00F61AE0">
      <w:pPr>
        <w:pStyle w:val="Article3"/>
      </w:pPr>
      <w:r>
        <w:t>was otherwise already known to Receiving Party.</w:t>
      </w:r>
    </w:p>
    <w:p w14:paraId="6010B641" w14:textId="77777777" w:rsidR="005F0E53" w:rsidRDefault="00F61AE0">
      <w:pPr>
        <w:pStyle w:val="Offset"/>
      </w:pPr>
      <w:r>
        <w:t>Acceptance or rejection shall be communicated within fifteen (15) business days of the Referral. Failure to respond within this period shall constitute acceptance.</w:t>
      </w:r>
    </w:p>
    <w:p w14:paraId="6010B642" w14:textId="77777777" w:rsidR="005F0E53" w:rsidRDefault="00F61AE0">
      <w:pPr>
        <w:pStyle w:val="Article2"/>
      </w:pPr>
      <w:r>
        <w:rPr>
          <w:b/>
          <w:bCs/>
        </w:rPr>
        <w:t>Validity Period</w:t>
      </w:r>
      <w:r>
        <w:t>. An accepted Referral remains valid for a period of twelve (12) months (“</w:t>
      </w:r>
      <w:r>
        <w:rPr>
          <w:b/>
          <w:bCs/>
        </w:rPr>
        <w:t>Validity Period</w:t>
      </w:r>
      <w:r>
        <w:t>”), or such other period as specified in the Collaboration-SC. If no commercial relationship is established with the Client within the Validity Period, the Referral expires and no Referral Activity Fee is due.</w:t>
      </w:r>
    </w:p>
    <w:p w14:paraId="6010B643" w14:textId="77777777" w:rsidR="005F0E53" w:rsidRDefault="00F61AE0">
      <w:pPr>
        <w:pStyle w:val="Article2"/>
      </w:pPr>
      <w:r>
        <w:rPr>
          <w:b/>
          <w:bCs/>
        </w:rPr>
        <w:t>Conversion</w:t>
      </w:r>
      <w:r>
        <w:t>. A Referral is converted when the Client enters into its first Order with Receiving Party within the Validity Period. Upon conversion, Referring Party is entitled to the Referral Activity Fee for the duration of the Activity Fee Period.</w:t>
      </w:r>
    </w:p>
    <w:p w14:paraId="6010B644" w14:textId="77777777" w:rsidR="005F0E53" w:rsidRDefault="00F61AE0">
      <w:pPr>
        <w:pStyle w:val="Article2"/>
      </w:pPr>
      <w:r>
        <w:rPr>
          <w:b/>
          <w:bCs/>
        </w:rPr>
        <w:t>Client-Wide Scope</w:t>
      </w:r>
      <w:r>
        <w:t>. The Referral Activity Fee applies to all revenue generated by the Client with Receiving Party, regardless of the number or nature of Orders, for the duration of the Activity Fee Period.</w:t>
      </w:r>
    </w:p>
    <w:p w14:paraId="6010B645" w14:textId="77777777" w:rsidR="005F0E53" w:rsidRDefault="00F61AE0">
      <w:pPr>
        <w:pStyle w:val="Article2"/>
      </w:pPr>
      <w:r>
        <w:rPr>
          <w:b/>
          <w:bCs/>
        </w:rPr>
        <w:lastRenderedPageBreak/>
        <w:t>Multiple Referrers</w:t>
      </w:r>
      <w:r>
        <w:t>. If both Parties claim to have independently identified or introduced the same Client, priority shall be granted to the Party whose introduction is the earlier, documented, and traceable cause of the commercial relationship. The Parties shall cooperate in good faith to resolve any such dispute.</w:t>
      </w:r>
    </w:p>
    <w:p w14:paraId="6010B646" w14:textId="77777777" w:rsidR="005F0E53" w:rsidRDefault="00F61AE0">
      <w:pPr>
        <w:pStyle w:val="Article1"/>
      </w:pPr>
      <w:r>
        <w:t>Revenue Base and Fee Calculation</w:t>
      </w:r>
    </w:p>
    <w:p w14:paraId="6010B647" w14:textId="77777777" w:rsidR="005F0E53" w:rsidRDefault="00F61AE0">
      <w:pPr>
        <w:pStyle w:val="Article2"/>
      </w:pPr>
      <w:r>
        <w:rPr>
          <w:b/>
          <w:bCs/>
        </w:rPr>
        <w:t>Revenue Base</w:t>
      </w:r>
      <w:r>
        <w:t>. For the purpose of calculating Activity Fees, the Revenue Base for a given Client or Order consists of the net amounts actually received in cleared funds from the Client, excluding:</w:t>
      </w:r>
    </w:p>
    <w:p w14:paraId="6010B648" w14:textId="77777777" w:rsidR="005F0E53" w:rsidRDefault="00F61AE0">
      <w:pPr>
        <w:pStyle w:val="Article3"/>
      </w:pPr>
      <w:r>
        <w:t>VAT and other applicable sales taxes;</w:t>
      </w:r>
    </w:p>
    <w:p w14:paraId="6010B649" w14:textId="77777777" w:rsidR="005F0E53" w:rsidRDefault="00F61AE0">
      <w:pPr>
        <w:pStyle w:val="Article3"/>
      </w:pPr>
      <w:r>
        <w:t>refunds, credits, and chargebacks;</w:t>
      </w:r>
    </w:p>
    <w:p w14:paraId="6010B64A" w14:textId="77777777" w:rsidR="005F0E53" w:rsidRDefault="00F61AE0">
      <w:pPr>
        <w:pStyle w:val="Article3"/>
      </w:pPr>
      <w:r>
        <w:t>discounts granted at or before invoicing;</w:t>
      </w:r>
    </w:p>
    <w:p w14:paraId="6010B64B" w14:textId="77777777" w:rsidR="005F0E53" w:rsidRDefault="00F61AE0">
      <w:pPr>
        <w:pStyle w:val="Article3"/>
      </w:pPr>
      <w:r>
        <w:t>pass-through costs and reimbursable expenses invoiced at cost; and</w:t>
      </w:r>
    </w:p>
    <w:p w14:paraId="6010B64C" w14:textId="77777777" w:rsidR="005F0E53" w:rsidRDefault="00F61AE0">
      <w:pPr>
        <w:pStyle w:val="Article3"/>
      </w:pPr>
      <w:r>
        <w:t>any other amounts expressly excluded in the Collaboration-SC.</w:t>
      </w:r>
    </w:p>
    <w:p w14:paraId="6010B64D" w14:textId="77777777" w:rsidR="005F0E53" w:rsidRDefault="00F61AE0">
      <w:pPr>
        <w:pStyle w:val="Article2"/>
      </w:pPr>
      <w:r>
        <w:rPr>
          <w:b/>
          <w:bCs/>
        </w:rPr>
        <w:t>Activity Fee Period</w:t>
      </w:r>
      <w:r>
        <w:t>. Activity Fees are payable for the following periods:</w:t>
      </w:r>
    </w:p>
    <w:p w14:paraId="6010B64E" w14:textId="77777777" w:rsidR="005F0E53" w:rsidRDefault="00F61AE0">
      <w:pPr>
        <w:pStyle w:val="Article3"/>
      </w:pPr>
      <w:r>
        <w:rPr>
          <w:b/>
          <w:bCs/>
        </w:rPr>
        <w:t>Referral Activity Fee</w:t>
      </w:r>
      <w:r>
        <w:t>: for a period of thirty-six (36) months starting from the date of the first Order with the Client (“</w:t>
      </w:r>
      <w:r>
        <w:rPr>
          <w:b/>
          <w:bCs/>
        </w:rPr>
        <w:t>Referral Activity Fee Period</w:t>
      </w:r>
      <w:r>
        <w:t>”), or such other period as specified in the Collaboration-SC.</w:t>
      </w:r>
    </w:p>
    <w:p w14:paraId="6010B64F" w14:textId="77777777" w:rsidR="005F0E53" w:rsidRDefault="00F61AE0">
      <w:pPr>
        <w:pStyle w:val="Article3"/>
      </w:pPr>
      <w:r>
        <w:rPr>
          <w:b/>
          <w:bCs/>
        </w:rPr>
        <w:t>Sales Activity Fee</w:t>
      </w:r>
      <w:r>
        <w:t>: for the duration of the specific Order to which the Sales Activity relates, including any renewals of that Order.</w:t>
      </w:r>
    </w:p>
    <w:p w14:paraId="6010B650" w14:textId="77777777" w:rsidR="005F0E53" w:rsidRDefault="00F61AE0">
      <w:pPr>
        <w:pStyle w:val="Article3"/>
      </w:pPr>
      <w:r>
        <w:rPr>
          <w:b/>
          <w:bCs/>
        </w:rPr>
        <w:t>Invoicing Activity Fee</w:t>
      </w:r>
      <w:r>
        <w:t>: for as long as the Performing Party remains designated as the Collecting Party for the relevant Order.</w:t>
      </w:r>
    </w:p>
    <w:p w14:paraId="6010B651" w14:textId="77777777" w:rsidR="005F0E53" w:rsidRDefault="00F61AE0">
      <w:pPr>
        <w:pStyle w:val="Article3"/>
      </w:pPr>
      <w:r>
        <w:rPr>
          <w:b/>
          <w:bCs/>
        </w:rPr>
        <w:t>IP and Brand Usage Activity Fee</w:t>
      </w:r>
      <w:r>
        <w:t>: for as long as the Contributing IP Party’s intellectual property, brand, or platform is used in the delivery of services under the relevant Order.</w:t>
      </w:r>
    </w:p>
    <w:p w14:paraId="6010B652" w14:textId="77777777" w:rsidR="005F0E53" w:rsidRDefault="00F61AE0">
      <w:pPr>
        <w:pStyle w:val="Article3"/>
      </w:pPr>
      <w:r>
        <w:rPr>
          <w:b/>
          <w:bCs/>
        </w:rPr>
        <w:t>Execution Activity Fee</w:t>
      </w:r>
      <w:r>
        <w:t>: for the duration of the Performing Party’s delivery of services under the relevant Order.</w:t>
      </w:r>
    </w:p>
    <w:p w14:paraId="6010B653" w14:textId="77777777" w:rsidR="005F0E53" w:rsidRDefault="00F61AE0">
      <w:pPr>
        <w:pStyle w:val="Article2"/>
      </w:pPr>
      <w:r>
        <w:rPr>
          <w:b/>
          <w:bCs/>
        </w:rPr>
        <w:t>Calculation</w:t>
      </w:r>
      <w:r>
        <w:t>. For each reporting period as defined in the Collaboration-SC, the Activity Fee payable to each Party for each Client and Order shall be calculated as follows:</w:t>
      </w:r>
    </w:p>
    <w:p w14:paraId="6010B654" w14:textId="77777777" w:rsidR="005F0E53" w:rsidRDefault="00F61AE0">
      <w:pPr>
        <w:pStyle w:val="Offset"/>
      </w:pPr>
      <w:r>
        <w:t>Activity Fee = Activity Rate × Revenue Base</w:t>
      </w:r>
    </w:p>
    <w:p w14:paraId="6010B655" w14:textId="77777777" w:rsidR="005F0E53" w:rsidRDefault="00F61AE0">
      <w:pPr>
        <w:pStyle w:val="Offset"/>
      </w:pPr>
      <w:r>
        <w:t>Where a Party performs multiple Activities, the total compensation for that Party is the sum of all applicable Activity Fees.</w:t>
      </w:r>
    </w:p>
    <w:p w14:paraId="6010B656" w14:textId="77777777" w:rsidR="005F0E53" w:rsidRDefault="00F61AE0">
      <w:pPr>
        <w:pStyle w:val="Article2"/>
      </w:pPr>
      <w:r>
        <w:rPr>
          <w:b/>
          <w:bCs/>
        </w:rPr>
        <w:t>Conditions for Payment</w:t>
      </w:r>
      <w:r>
        <w:t>. An Activity Fee is earned and payable only once the Collecting Party has actually received the corresponding Revenue Base in cleared funds.</w:t>
      </w:r>
    </w:p>
    <w:p w14:paraId="6010B657" w14:textId="77777777" w:rsidR="005F0E53" w:rsidRDefault="00F61AE0">
      <w:pPr>
        <w:pStyle w:val="Article2"/>
      </w:pPr>
      <w:r>
        <w:rPr>
          <w:b/>
          <w:bCs/>
        </w:rPr>
        <w:t>Exclusions</w:t>
      </w:r>
      <w:r>
        <w:t>. No Activity Fee is due in respect of:</w:t>
      </w:r>
    </w:p>
    <w:p w14:paraId="6010B658" w14:textId="77777777" w:rsidR="005F0E53" w:rsidRDefault="00F61AE0">
      <w:pPr>
        <w:pStyle w:val="Article3"/>
      </w:pPr>
      <w:r>
        <w:t>revenue that is unpaid, disputed, or refunded;</w:t>
      </w:r>
    </w:p>
    <w:p w14:paraId="6010B659" w14:textId="77777777" w:rsidR="005F0E53" w:rsidRDefault="00F61AE0">
      <w:pPr>
        <w:pStyle w:val="Article3"/>
      </w:pPr>
      <w:r>
        <w:t>revenue from transactions cancelled within sixty (60) days of execution;</w:t>
      </w:r>
    </w:p>
    <w:p w14:paraId="6010B65A" w14:textId="77777777" w:rsidR="005F0E53" w:rsidRDefault="00F61AE0">
      <w:pPr>
        <w:pStyle w:val="Article3"/>
      </w:pPr>
      <w:r>
        <w:t>revenue generated outside the Activity Fee Period; or</w:t>
      </w:r>
    </w:p>
    <w:p w14:paraId="6010B65B" w14:textId="77777777" w:rsidR="005F0E53" w:rsidRDefault="00F61AE0">
      <w:pPr>
        <w:pStyle w:val="Article3"/>
      </w:pPr>
      <w:r>
        <w:t>revenue attributable to activities entirely outside the scope of the Collaboration.</w:t>
      </w:r>
    </w:p>
    <w:p w14:paraId="6010B65C" w14:textId="77777777" w:rsidR="005F0E53" w:rsidRDefault="00F61AE0">
      <w:pPr>
        <w:pStyle w:val="Article2"/>
      </w:pPr>
      <w:r>
        <w:rPr>
          <w:b/>
          <w:bCs/>
        </w:rPr>
        <w:t>Anti-Avoidance</w:t>
      </w:r>
      <w:r>
        <w:t>. The Parties shall not artificially structure, delay, split, or re-route any transaction for the purpose of avoiding or reducing an Activity Fee. Where such conduct is demonstrated, the Activity Fee shall be calculated as if the transaction had been executed normally.</w:t>
      </w:r>
    </w:p>
    <w:p w14:paraId="6010B65D" w14:textId="77777777" w:rsidR="005F0E53" w:rsidRDefault="00F61AE0">
      <w:pPr>
        <w:pStyle w:val="Article1"/>
      </w:pPr>
      <w:r>
        <w:lastRenderedPageBreak/>
        <w:t>Multi-Party Attribution</w:t>
      </w:r>
    </w:p>
    <w:p w14:paraId="6010B65E" w14:textId="77777777" w:rsidR="005F0E53" w:rsidRDefault="00F61AE0">
      <w:pPr>
        <w:pStyle w:val="Article2"/>
      </w:pPr>
      <w:r>
        <w:t>Where multiple parties contribute to the same Activity for the same Client or Order, the principles of multi-party attribution shall apply in accordance with this Article.</w:t>
      </w:r>
    </w:p>
    <w:p w14:paraId="6010B65F" w14:textId="77777777" w:rsidR="005F0E53" w:rsidRDefault="00F61AE0">
      <w:pPr>
        <w:pStyle w:val="Article2"/>
      </w:pPr>
      <w:r>
        <w:rPr>
          <w:b/>
          <w:bCs/>
        </w:rPr>
        <w:t>Joint Attribution</w:t>
      </w:r>
      <w:r>
        <w:t>. Where two or more parties have each independently and directly contributed to the same Activity (e.g., where both FlexUp and Partner participated in the sales process for the same Order), the Activity Fee for that Activity shall be allocated between them based on Adjustment Factors agreed between the Parties or, failing agreement, determined by the Collecting Party acting reasonably and in good faith. The combined Adjustment Factors shall total one hundred per cent (100%).</w:t>
      </w:r>
    </w:p>
    <w:p w14:paraId="6010B660" w14:textId="77777777" w:rsidR="005F0E53" w:rsidRDefault="00F61AE0">
      <w:pPr>
        <w:pStyle w:val="Article2"/>
      </w:pPr>
      <w:r>
        <w:rPr>
          <w:b/>
          <w:bCs/>
        </w:rPr>
        <w:t>Chain Attribution</w:t>
      </w:r>
      <w:r>
        <w:t>. Where an Activity involves a sequential chain of contributions (e.g., where a third party introduced the Client to one Party, who then brought the Client into the Collaboration), the Activity Fee shall be allocated as follows:</w:t>
      </w:r>
    </w:p>
    <w:p w14:paraId="6010B661" w14:textId="77777777" w:rsidR="005F0E53" w:rsidRDefault="00F61AE0">
      <w:pPr>
        <w:pStyle w:val="Article3"/>
      </w:pPr>
      <w:r>
        <w:t>the direct contributor receives the Activity Fee at an Adjustment Factor of one hundred per cent (100%);</w:t>
      </w:r>
    </w:p>
    <w:p w14:paraId="6010B662" w14:textId="77777777" w:rsidR="005F0E53" w:rsidRDefault="00F61AE0">
      <w:pPr>
        <w:pStyle w:val="Article3"/>
      </w:pPr>
      <w:r>
        <w:t>each preceding contributor in the chain receives the Activity Fee at an Adjustment Factor halved progressively: fifty per cent (50%) at level two, twenty-five per cent (25%) at level three, twelve and a half per cent (12.5%) at level four, and so on.</w:t>
      </w:r>
    </w:p>
    <w:p w14:paraId="6010B663" w14:textId="77777777" w:rsidR="005F0E53" w:rsidRDefault="00F61AE0">
      <w:pPr>
        <w:pStyle w:val="Article2"/>
      </w:pPr>
      <w:r>
        <w:t>No Party may receive both a Joint Attribution fee and a Chain Attribution fee for the same Activity on the same Client or Order.</w:t>
      </w:r>
    </w:p>
    <w:p w14:paraId="6010B664" w14:textId="77777777" w:rsidR="005F0E53" w:rsidRDefault="00F61AE0">
      <w:pPr>
        <w:pStyle w:val="Article2"/>
      </w:pPr>
      <w:r>
        <w:t>The Collecting Party shall determine, acting reasonably and in good faith, whether a multi-party situation constitutes Joint Attribution or Chain Attribution. The determination and any allocation of Adjustment Factors made by the Collecting Party shall be final and binding unless all involved Parties agree otherwise In Writing.</w:t>
      </w:r>
    </w:p>
    <w:p w14:paraId="6010B665" w14:textId="77777777" w:rsidR="005F0E53" w:rsidRDefault="00F61AE0">
      <w:pPr>
        <w:pStyle w:val="Article1"/>
      </w:pPr>
      <w:r>
        <w:t>Conversion Bonuses</w:t>
      </w:r>
    </w:p>
    <w:p w14:paraId="6010B666" w14:textId="77777777" w:rsidR="005F0E53" w:rsidRDefault="00F61AE0">
      <w:pPr>
        <w:pStyle w:val="Article2"/>
      </w:pPr>
      <w:r>
        <w:t>In addition to the Activity Fees set out in this Contract, the Parties may agree on discretionary Conversion Bonuses payable in respect of Clients that subscribe to a recurring subscription service (i.e. SaaS).</w:t>
      </w:r>
    </w:p>
    <w:p w14:paraId="6010B667" w14:textId="77777777" w:rsidR="005F0E53" w:rsidRDefault="00F61AE0">
      <w:pPr>
        <w:pStyle w:val="Article2"/>
      </w:pPr>
      <w:r>
        <w:t>Unless otherwise specified in the Collaboration-SC, the following Conversion Bonuses may be offered at the sole discretion of the Party providing the subscription service:</w:t>
      </w:r>
    </w:p>
    <w:p w14:paraId="6010B668" w14:textId="77777777" w:rsidR="005F0E53" w:rsidRDefault="00F61AE0">
      <w:pPr>
        <w:pStyle w:val="Article3"/>
      </w:pPr>
      <w:r>
        <w:rPr>
          <w:b/>
          <w:bCs/>
        </w:rPr>
        <w:t>Referral Conversion Bonus</w:t>
      </w:r>
      <w:r>
        <w:t>: an amount equivalent to two (2) months of the subscription fee, payable to the Party that performed the Referral Activity, upon the Client maintaining its subscription for a minimum of six (6) consecutive months.</w:t>
      </w:r>
    </w:p>
    <w:p w14:paraId="6010B669" w14:textId="77777777" w:rsidR="005F0E53" w:rsidRDefault="00F61AE0">
      <w:pPr>
        <w:pStyle w:val="Article3"/>
      </w:pPr>
      <w:r>
        <w:rPr>
          <w:b/>
          <w:bCs/>
        </w:rPr>
        <w:t>Sales Conversion Bonus</w:t>
      </w:r>
      <w:r>
        <w:t>: an amount equivalent to four (4) months of the subscription fee, payable to the Party that performed the Sales Activity, upon the Client maintaining its subscription for a minimum of six (6) consecutive months.</w:t>
      </w:r>
    </w:p>
    <w:p w14:paraId="6010B66A" w14:textId="77777777" w:rsidR="005F0E53" w:rsidRDefault="00F61AE0">
      <w:pPr>
        <w:pStyle w:val="Article2"/>
      </w:pPr>
      <w:r>
        <w:t>Conversion Bonuses are discretionary and separate from Activity Fees. They are not automatically due and must be expressly offered by the providing Party.</w:t>
      </w:r>
    </w:p>
    <w:p w14:paraId="6010B66B" w14:textId="77777777" w:rsidR="005F0E53" w:rsidRDefault="00F61AE0">
      <w:pPr>
        <w:pStyle w:val="Article2"/>
      </w:pPr>
      <w:r>
        <w:t>The Collaboration-SC may specify whether Conversion Bonuses are contractual rather than discretionary for the purposes of the specific Collaboration.</w:t>
      </w:r>
    </w:p>
    <w:p w14:paraId="6010B66C" w14:textId="77777777" w:rsidR="005F0E53" w:rsidRDefault="00F61AE0">
      <w:pPr>
        <w:pStyle w:val="Article2"/>
      </w:pPr>
      <w:r>
        <w:t>The Collaboration-SC may expressly exclude Conversion Bonuses from the scope of a Contract, in which case this Article shall not apply.</w:t>
      </w:r>
    </w:p>
    <w:p w14:paraId="6010B66D" w14:textId="77777777" w:rsidR="005F0E53" w:rsidRDefault="00F61AE0">
      <w:pPr>
        <w:pStyle w:val="Article1"/>
      </w:pPr>
      <w:r>
        <w:t>Transparency and Reporting</w:t>
      </w:r>
    </w:p>
    <w:p w14:paraId="6010B66E" w14:textId="77777777" w:rsidR="005F0E53" w:rsidRDefault="00F61AE0">
      <w:pPr>
        <w:pStyle w:val="Article2"/>
      </w:pPr>
      <w:r>
        <w:rPr>
          <w:b/>
          <w:bCs/>
        </w:rPr>
        <w:t>Reporting Obligation</w:t>
      </w:r>
      <w:r>
        <w:t>. Each Party shall provide the other with periodic reports detailing:</w:t>
      </w:r>
    </w:p>
    <w:p w14:paraId="6010B66F" w14:textId="77777777" w:rsidR="005F0E53" w:rsidRDefault="00F61AE0">
      <w:pPr>
        <w:pStyle w:val="Article3"/>
      </w:pPr>
      <w:r>
        <w:t>the Clients engaged during the reporting period;</w:t>
      </w:r>
    </w:p>
    <w:p w14:paraId="6010B670" w14:textId="77777777" w:rsidR="005F0E53" w:rsidRDefault="00F61AE0">
      <w:pPr>
        <w:pStyle w:val="Article3"/>
      </w:pPr>
      <w:r>
        <w:t>the Orders placed and the revenue received from each Client;</w:t>
      </w:r>
    </w:p>
    <w:p w14:paraId="6010B671" w14:textId="77777777" w:rsidR="005F0E53" w:rsidRDefault="00F61AE0">
      <w:pPr>
        <w:pStyle w:val="Article3"/>
      </w:pPr>
      <w:r>
        <w:lastRenderedPageBreak/>
        <w:t>the Activity Allocation applicable to each Order; and</w:t>
      </w:r>
    </w:p>
    <w:p w14:paraId="6010B672" w14:textId="77777777" w:rsidR="005F0E53" w:rsidRDefault="00F61AE0">
      <w:pPr>
        <w:pStyle w:val="Article3"/>
      </w:pPr>
      <w:r>
        <w:t>the Activity Fees calculated and due to each Party.</w:t>
      </w:r>
    </w:p>
    <w:p w14:paraId="6010B673" w14:textId="77777777" w:rsidR="005F0E53" w:rsidRDefault="00F61AE0">
      <w:pPr>
        <w:pStyle w:val="Offset"/>
      </w:pPr>
      <w:r>
        <w:t>The reporting frequency shall be as specified in the Collaboration-SC, and in the absence of such specification, shall be quarterly.</w:t>
      </w:r>
    </w:p>
    <w:p w14:paraId="6010B674" w14:textId="77777777" w:rsidR="005F0E53" w:rsidRDefault="00F61AE0">
      <w:pPr>
        <w:pStyle w:val="Article2"/>
      </w:pPr>
      <w:r>
        <w:rPr>
          <w:b/>
          <w:bCs/>
        </w:rPr>
        <w:t>Revenue Disclosure</w:t>
      </w:r>
      <w:r>
        <w:t>. The Collecting Party shall disclose to the other Party the Revenue Base for each Client and Order in sufficient detail to enable verification of the Activity Fees, without requiring disclosure of commercial terms, pricing structures, or confidential contractual details beyond what is necessary for fee calculation.</w:t>
      </w:r>
    </w:p>
    <w:p w14:paraId="6010B675" w14:textId="77777777" w:rsidR="005F0E53" w:rsidRDefault="00F61AE0">
      <w:pPr>
        <w:pStyle w:val="Article2"/>
      </w:pPr>
      <w:r>
        <w:rPr>
          <w:b/>
          <w:bCs/>
        </w:rPr>
        <w:t>Audit Summary Rights</w:t>
      </w:r>
      <w:r>
        <w:t>. Upon at least thirty (30) days’ prior written notice, either Party may request a summary statement of the amounts attributable to Activity Fees. Such request may not be made more than once per calendar year.</w:t>
      </w:r>
    </w:p>
    <w:p w14:paraId="6010B676" w14:textId="77777777" w:rsidR="005F0E53" w:rsidRDefault="00F61AE0">
      <w:pPr>
        <w:pStyle w:val="Article2"/>
      </w:pPr>
      <w:r>
        <w:t>In case of reasonable doubt regarding accuracy, the requesting Party may request that the relevant amounts be verified by an independent certified auditing firm, jointly agreed by the Parties. The cost of the audit shall be borne by the requesting Party, unless the audit reveals a discrepancy exceeding five per cent (5%) of the audited amounts and resulting in an impact on fees greater than one thousand euros (1 000 EUR), in which case the reasonable cost of the audit shall be reimbursed by the other Party.</w:t>
      </w:r>
    </w:p>
    <w:p w14:paraId="6010B677" w14:textId="77777777" w:rsidR="005F0E53" w:rsidRDefault="00F61AE0">
      <w:pPr>
        <w:pStyle w:val="Article2"/>
      </w:pPr>
      <w:r>
        <w:t>Any audit shall be limited strictly to the verification of amounts attributable to Activity Fees and shall be conducted in a manner that minimises disruption to either Party’s business.</w:t>
      </w:r>
    </w:p>
    <w:p w14:paraId="6010B678" w14:textId="77777777" w:rsidR="005F0E53" w:rsidRDefault="00F61AE0">
      <w:pPr>
        <w:pStyle w:val="Article1"/>
      </w:pPr>
      <w:r>
        <w:t>Settlement Between the Parties</w:t>
      </w:r>
    </w:p>
    <w:p w14:paraId="6010B679" w14:textId="77777777" w:rsidR="005F0E53" w:rsidRDefault="00F61AE0">
      <w:pPr>
        <w:pStyle w:val="Article2"/>
      </w:pPr>
      <w:r>
        <w:rPr>
          <w:b/>
          <w:bCs/>
        </w:rPr>
        <w:t>Settlement Principle</w:t>
      </w:r>
      <w:r>
        <w:t>. Following each reporting period, the Collecting Party shall calculate the Activity Fees due to the other Party based on the Revenue Base received and the applicable Activity Allocation, and shall pay the resulting amount to the other Party.</w:t>
      </w:r>
    </w:p>
    <w:p w14:paraId="6010B67A" w14:textId="77777777" w:rsidR="005F0E53" w:rsidRDefault="00F61AE0">
      <w:pPr>
        <w:pStyle w:val="Article2"/>
      </w:pPr>
      <w:r>
        <w:rPr>
          <w:b/>
          <w:bCs/>
        </w:rPr>
        <w:t>Invoicing</w:t>
      </w:r>
      <w:r>
        <w:t>. The Party to whom Activity Fees are owed may issue an invoice to the Collecting Party. The invoice shall specify the Client, the Order, the applicable Activities, the Activity Rates, the Revenue Base, and the resulting Activity Fee.</w:t>
      </w:r>
    </w:p>
    <w:p w14:paraId="6010B67B" w14:textId="77777777" w:rsidR="005F0E53" w:rsidRDefault="00F61AE0">
      <w:pPr>
        <w:pStyle w:val="Article2"/>
      </w:pPr>
      <w:r>
        <w:rPr>
          <w:b/>
          <w:bCs/>
        </w:rPr>
        <w:t>Payment Due Date</w:t>
      </w:r>
      <w:r>
        <w:t>. The Collecting Party shall pay each valid invoice by bank transfer to the other Party’s designated bank account. If the invoice is received before the fifteenth (15th) of a given month, payment is due by the last business day of that same month. If the invoice is received after the fifteenth (15th), payment is due by the last business day of the following month. If a due date falls on a non-business day, payment shall be due on the next business day.</w:t>
      </w:r>
    </w:p>
    <w:p w14:paraId="6010B67C" w14:textId="77777777" w:rsidR="005F0E53" w:rsidRDefault="00F61AE0">
      <w:pPr>
        <w:pStyle w:val="Article2"/>
      </w:pPr>
      <w:r>
        <w:rPr>
          <w:b/>
          <w:bCs/>
        </w:rPr>
        <w:t>Disputed Invoices</w:t>
      </w:r>
      <w:r>
        <w:t>. If the Collecting Party disputes any portion of an invoice:</w:t>
      </w:r>
    </w:p>
    <w:p w14:paraId="6010B67D" w14:textId="77777777" w:rsidR="005F0E53" w:rsidRDefault="00F61AE0">
      <w:pPr>
        <w:pStyle w:val="Article3"/>
      </w:pPr>
      <w:r>
        <w:t>the undisputed portion must be paid in accordance with Article 11.3;</w:t>
      </w:r>
    </w:p>
    <w:p w14:paraId="6010B67E" w14:textId="77777777" w:rsidR="005F0E53" w:rsidRDefault="00F61AE0">
      <w:pPr>
        <w:pStyle w:val="Article3"/>
      </w:pPr>
      <w:r>
        <w:t>only the disputed portion may be withheld; and</w:t>
      </w:r>
    </w:p>
    <w:p w14:paraId="6010B67F" w14:textId="77777777" w:rsidR="005F0E53" w:rsidRDefault="00F61AE0">
      <w:pPr>
        <w:pStyle w:val="Article3"/>
      </w:pPr>
      <w:r>
        <w:t>the Parties shall cooperate in good faith to resolve the dispute promptly.</w:t>
      </w:r>
    </w:p>
    <w:p w14:paraId="6010B680" w14:textId="77777777" w:rsidR="005F0E53" w:rsidRDefault="00F61AE0">
      <w:pPr>
        <w:pStyle w:val="Article3"/>
      </w:pPr>
      <w:r>
        <w:t>No penalties apply to the disputed portion while the dispute is investigated in good faith.</w:t>
      </w:r>
    </w:p>
    <w:p w14:paraId="6010B681" w14:textId="77777777" w:rsidR="005F0E53" w:rsidRDefault="00F61AE0">
      <w:pPr>
        <w:pStyle w:val="Article2"/>
      </w:pPr>
      <w:r>
        <w:rPr>
          <w:b/>
          <w:bCs/>
        </w:rPr>
        <w:t>Late Payment</w:t>
      </w:r>
      <w:r>
        <w:t>. Late payment penalties are governed by Article “Invoicing and Payment (Classic system)” of the FlexUp-GC, unless the Collaboration-SC specifies different rates.</w:t>
      </w:r>
    </w:p>
    <w:p w14:paraId="6010B682" w14:textId="77777777" w:rsidR="005F0E53" w:rsidRDefault="00F61AE0">
      <w:pPr>
        <w:pStyle w:val="Article2"/>
      </w:pPr>
      <w:r>
        <w:rPr>
          <w:b/>
          <w:bCs/>
        </w:rPr>
        <w:t>Taxes</w:t>
      </w:r>
      <w:r>
        <w:t>. Each Party is responsible for its own taxes. Where applicable, VAT or similar taxes shall be added to the invoice and borne by the paying Party.</w:t>
      </w:r>
    </w:p>
    <w:p w14:paraId="6010B683" w14:textId="77777777" w:rsidR="005F0E53" w:rsidRDefault="00F61AE0">
      <w:pPr>
        <w:pStyle w:val="Article2"/>
      </w:pPr>
      <w:r>
        <w:rPr>
          <w:b/>
          <w:bCs/>
        </w:rPr>
        <w:t>Netting</w:t>
      </w:r>
      <w:r>
        <w:t>. Where both Parties owe Activity Fees to each other for the same reporting period, the Parties may agree to net the amounts, and only the net balance shall be payable by the Party owing the larger amount.</w:t>
      </w:r>
    </w:p>
    <w:p w14:paraId="6010B684" w14:textId="77777777" w:rsidR="005F0E53" w:rsidRDefault="00F61AE0">
      <w:pPr>
        <w:pStyle w:val="Article1"/>
      </w:pPr>
      <w:r>
        <w:lastRenderedPageBreak/>
        <w:t>Flexible Payment Terms</w:t>
      </w:r>
    </w:p>
    <w:p w14:paraId="6010B685" w14:textId="77777777" w:rsidR="005F0E53" w:rsidRDefault="00F61AE0">
      <w:pPr>
        <w:pStyle w:val="Article2"/>
      </w:pPr>
      <w:r>
        <w:t>The present Article applies only where the Collaboration-SC expressly states that Activity Fees, in whole or in part, are paid under the FlexUp Economic Model and governed by a FlexUp Charter.</w:t>
      </w:r>
    </w:p>
    <w:p w14:paraId="6010B686" w14:textId="77777777" w:rsidR="005F0E53" w:rsidRDefault="00F61AE0">
      <w:pPr>
        <w:pStyle w:val="Article2"/>
      </w:pPr>
      <w:r>
        <w:rPr>
          <w:b/>
          <w:bCs/>
        </w:rPr>
        <w:t>Application of the FlexUp Model</w:t>
      </w:r>
      <w:r>
        <w:t>. Where the Collaboration-SC specifies that Activity Fees are to be paid as Flexible Commitments, as defined in the Charter, such Commitments shall be governed exclusively by it. The provisions of Article “Accounting and Remuneration under the FlexUp Model” of the FlexUp-GC shall apply.</w:t>
      </w:r>
    </w:p>
    <w:p w14:paraId="6010B687" w14:textId="77777777" w:rsidR="005F0E53" w:rsidRDefault="00F61AE0">
      <w:pPr>
        <w:pStyle w:val="Article2"/>
      </w:pPr>
      <w:r>
        <w:rPr>
          <w:b/>
          <w:bCs/>
        </w:rPr>
        <w:t>Interaction with Classic Payment Terms</w:t>
      </w:r>
      <w:r>
        <w:t>. Where the Collaboration-SC provides that Activity Fees are paid partly under the Classic System and partly under the FlexUp Economic Model:</w:t>
      </w:r>
    </w:p>
    <w:p w14:paraId="6010B688" w14:textId="77777777" w:rsidR="005F0E53" w:rsidRDefault="00F61AE0">
      <w:pPr>
        <w:pStyle w:val="Article3"/>
      </w:pPr>
      <w:r>
        <w:t>the Classic System portion is governed by Article “Settlement Between the Parties”;</w:t>
      </w:r>
    </w:p>
    <w:p w14:paraId="6010B689" w14:textId="77777777" w:rsidR="005F0E53" w:rsidRDefault="00F61AE0">
      <w:pPr>
        <w:pStyle w:val="Article3"/>
      </w:pPr>
      <w:r>
        <w:t>the FlexUp Economic Model portion is governed exclusively by this Article and the Charter; and</w:t>
      </w:r>
    </w:p>
    <w:p w14:paraId="6010B68A" w14:textId="77777777" w:rsidR="005F0E53" w:rsidRDefault="00F61AE0">
      <w:pPr>
        <w:pStyle w:val="Article3"/>
      </w:pPr>
      <w:r>
        <w:t>no duplication of compensation may arise.</w:t>
      </w:r>
    </w:p>
    <w:p w14:paraId="6010B68B" w14:textId="77777777" w:rsidR="005F0E53" w:rsidRDefault="00F61AE0">
      <w:pPr>
        <w:pStyle w:val="Article2"/>
      </w:pPr>
      <w:r>
        <w:rPr>
          <w:b/>
          <w:bCs/>
        </w:rPr>
        <w:t>Recordkeeping</w:t>
      </w:r>
      <w:r>
        <w:t>. Statements (including invoices and proformas) may be issued, submitted, and stored through the FlexUp App, or any electronic means designated by the Parties. Electronic statements conforming to the platform standards shall be deemed valid for payment purposes.</w:t>
      </w:r>
    </w:p>
    <w:p w14:paraId="6010B68C" w14:textId="77777777" w:rsidR="005F0E53" w:rsidRDefault="00F61AE0">
      <w:pPr>
        <w:pStyle w:val="Article1"/>
      </w:pPr>
      <w:r>
        <w:t>Duration and Termination</w:t>
      </w:r>
    </w:p>
    <w:p w14:paraId="6010B68D" w14:textId="77777777" w:rsidR="005F0E53" w:rsidRDefault="00F61AE0">
      <w:r>
        <w:t>Without prejudice to the provisions of Article “Duration and Termination” and Article “Remediation and Termination for Material Breach” of the FlexUp-GC, the following additional provisions apply to Contracts.</w:t>
      </w:r>
    </w:p>
    <w:p w14:paraId="6010B68E" w14:textId="77777777" w:rsidR="005F0E53" w:rsidRDefault="00F61AE0">
      <w:pPr>
        <w:pStyle w:val="Article2"/>
      </w:pPr>
      <w:r>
        <w:rPr>
          <w:b/>
          <w:bCs/>
        </w:rPr>
        <w:t>Duration.</w:t>
      </w:r>
      <w:r>
        <w:t xml:space="preserve"> Unless otherwise specified in the Collaboration-SC, this Contract is of indefinite duration as defined in the FlexUp-GC.</w:t>
      </w:r>
    </w:p>
    <w:p w14:paraId="6010B68F" w14:textId="77777777" w:rsidR="005F0E53" w:rsidRDefault="00F61AE0">
      <w:pPr>
        <w:pStyle w:val="Article2"/>
      </w:pPr>
      <w:r>
        <w:rPr>
          <w:b/>
          <w:bCs/>
        </w:rPr>
        <w:t>Effects of Cessation.</w:t>
      </w:r>
      <w:r>
        <w:t xml:space="preserve"> Cessation of the Contract shall not affect:</w:t>
      </w:r>
    </w:p>
    <w:p w14:paraId="6010B690" w14:textId="77777777" w:rsidR="005F0E53" w:rsidRDefault="00F61AE0">
      <w:pPr>
        <w:pStyle w:val="Article3"/>
      </w:pPr>
      <w:r>
        <w:t>any rights or obligations accrued prior to the effective date of Cessation, including any Activity Fees relating to Clients and Orders confirmed before Cessation;</w:t>
      </w:r>
    </w:p>
    <w:p w14:paraId="6010B691" w14:textId="77777777" w:rsidR="005F0E53" w:rsidRDefault="00F61AE0">
      <w:pPr>
        <w:pStyle w:val="Article3"/>
      </w:pPr>
      <w:r>
        <w:t>intellectual property and branding obligations under Article “Intellectual Property and Branding”;</w:t>
      </w:r>
    </w:p>
    <w:p w14:paraId="6010B692" w14:textId="77777777" w:rsidR="005F0E53" w:rsidRDefault="00F61AE0">
      <w:pPr>
        <w:pStyle w:val="Article3"/>
      </w:pPr>
      <w:r>
        <w:t>the applicable provisions of the FlexUp-GC; or</w:t>
      </w:r>
    </w:p>
    <w:p w14:paraId="6010B693" w14:textId="77777777" w:rsidR="005F0E53" w:rsidRDefault="00F61AE0">
      <w:pPr>
        <w:pStyle w:val="Article3"/>
      </w:pPr>
      <w:r>
        <w:t>any other obligation expressly intended to survive Cessation.</w:t>
      </w:r>
    </w:p>
    <w:p w14:paraId="6010B694" w14:textId="77777777" w:rsidR="005F0E53" w:rsidRDefault="00F61AE0">
      <w:pPr>
        <w:pStyle w:val="Offset"/>
      </w:pPr>
      <w:r>
        <w:t>Activity Fee obligations for Clients and Orders confirmed prior to Cessation continue until expiry of the applicable Activity Fee Period.</w:t>
      </w:r>
    </w:p>
    <w:p w14:paraId="6010B695" w14:textId="77777777" w:rsidR="005F0E53" w:rsidRDefault="00F61AE0">
      <w:pPr>
        <w:pStyle w:val="Article2"/>
      </w:pPr>
      <w:r>
        <w:rPr>
          <w:b/>
          <w:bCs/>
        </w:rPr>
        <w:t>Replacement of prior referral agreements.</w:t>
      </w:r>
      <w:r>
        <w:t xml:space="preserve"> Any prior referral contract previously concluded between the Parties shall cease to have effect for future activities from the Effective Date of this Contract onward. Any rights, obligations, or compensation accrued prior to the Effective Date shall remain governed by the terms of that prior agreement unless otherwise expressly agreed In Writing. From the Effective Date onward, all new referrals, activities, and compensation mechanisms between the Parties shall be governed exclusively by this Contract.</w:t>
      </w:r>
    </w:p>
    <w:p w14:paraId="6010B696" w14:textId="77777777" w:rsidR="005F0E53" w:rsidRDefault="00F61AE0">
      <w:pPr>
        <w:pStyle w:val="Article1"/>
      </w:pPr>
      <w:r>
        <w:t>Intellectual Property and Branding</w:t>
      </w:r>
    </w:p>
    <w:p w14:paraId="6010B697" w14:textId="77777777" w:rsidR="005F0E53" w:rsidRDefault="00F61AE0">
      <w:r>
        <w:t>Without prejudice to Article “Intellectual Property” of the FlexUp-GC, the following additional provisions apply to Contracts.</w:t>
      </w:r>
    </w:p>
    <w:p w14:paraId="6010B698" w14:textId="77777777" w:rsidR="005F0E53" w:rsidRDefault="00F61AE0">
      <w:pPr>
        <w:pStyle w:val="Article2"/>
      </w:pPr>
      <w:r>
        <w:t>Neither Party shall use the other Party’s name, logo, or marketing materials without prior written consent.</w:t>
      </w:r>
    </w:p>
    <w:p w14:paraId="6010B699" w14:textId="77777777" w:rsidR="005F0E53" w:rsidRDefault="00F61AE0">
      <w:pPr>
        <w:pStyle w:val="Article2"/>
      </w:pPr>
      <w:r>
        <w:t>Neither Party shall register, attempt to register, or challenge the other Party’s trademarks, trade names, or domain names, nor register any confusingly similar marks.</w:t>
      </w:r>
    </w:p>
    <w:p w14:paraId="6010B69A" w14:textId="77777777" w:rsidR="005F0E53" w:rsidRDefault="00F61AE0">
      <w:pPr>
        <w:pStyle w:val="Article2"/>
      </w:pPr>
      <w:r>
        <w:lastRenderedPageBreak/>
        <w:t>Where the IP and Brand Usage Activity applies, the Contributing IP Party grants to the other Party a limited, non-exclusive, non-transferable licence to use the Contributing IP Party’s intellectual property, brand, tools, and platform solely for the purpose of delivering services to the relevant Client under the relevant Order. This licence shall terminate automatically upon Cessation of the Contract or upon the end of the relevant Order, whichever is earlier.</w:t>
      </w:r>
    </w:p>
    <w:p w14:paraId="6010B69B" w14:textId="77777777" w:rsidR="005F0E53" w:rsidRDefault="00F61AE0">
      <w:pPr>
        <w:pStyle w:val="Article1"/>
      </w:pPr>
      <w:r>
        <w:t>Non-Circumvention</w:t>
      </w:r>
    </w:p>
    <w:p w14:paraId="6010B69C" w14:textId="77777777" w:rsidR="005F0E53" w:rsidRDefault="00F61AE0">
      <w:pPr>
        <w:pStyle w:val="Article2"/>
      </w:pPr>
      <w:r>
        <w:t>Neither Party shall take any action intended to circumvent or undermine the other Party’s rights under this Contract, including without limitation:</w:t>
      </w:r>
    </w:p>
    <w:p w14:paraId="6010B69D" w14:textId="77777777" w:rsidR="005F0E53" w:rsidRDefault="00F61AE0">
      <w:pPr>
        <w:pStyle w:val="Article3"/>
      </w:pPr>
      <w:r>
        <w:t>directly or indirectly engaging with a Client introduced by the other Party in a manner that bypasses the Collaboration and avoids Activity Fees;</w:t>
      </w:r>
    </w:p>
    <w:p w14:paraId="6010B69E" w14:textId="77777777" w:rsidR="005F0E53" w:rsidRDefault="00F61AE0">
      <w:pPr>
        <w:pStyle w:val="Article3"/>
      </w:pPr>
      <w:r>
        <w:t>encouraging a Client to restructure its relationship to reduce or eliminate the other Party’s Activity Fees;</w:t>
      </w:r>
    </w:p>
    <w:p w14:paraId="6010B69F" w14:textId="77777777" w:rsidR="005F0E53" w:rsidRDefault="00F61AE0">
      <w:pPr>
        <w:pStyle w:val="Article3"/>
      </w:pPr>
      <w:r>
        <w:t>using confidential information or client contacts obtained through the Collaboration to develop competing relationships outside the scope of this Contract; or</w:t>
      </w:r>
    </w:p>
    <w:p w14:paraId="6010B6A0" w14:textId="77777777" w:rsidR="005F0E53" w:rsidRDefault="00F61AE0">
      <w:pPr>
        <w:pStyle w:val="Article3"/>
      </w:pPr>
      <w:r>
        <w:t>engaging third parties to perform activities that would otherwise be subject to Activity Fees under this Contract.</w:t>
      </w:r>
    </w:p>
    <w:p w14:paraId="6010B6A1" w14:textId="77777777" w:rsidR="005F0E53" w:rsidRDefault="00F61AE0">
      <w:pPr>
        <w:pStyle w:val="Article2"/>
      </w:pPr>
      <w:r>
        <w:t>The non-circumvention obligation applies during the term of this Contract and for the duration of any surviving Activity Fee Period following Cessation.</w:t>
      </w:r>
    </w:p>
    <w:p w14:paraId="6010B6A2" w14:textId="77777777" w:rsidR="005F0E53" w:rsidRDefault="00F61AE0">
      <w:pPr>
        <w:pStyle w:val="Article2"/>
      </w:pPr>
      <w:r>
        <w:t>In case of breach of this Article, the non-breaching Party shall be entitled to claim compensation for the damages incurred, including but not limited to the Activity Fees that would have been payable absent the circumvention.</w:t>
      </w:r>
      <w:bookmarkEnd w:id="0"/>
      <w:bookmarkEnd w:id="1"/>
    </w:p>
    <w:sectPr w:rsidR="005F0E53" w:rsidSect="00762D05">
      <w:footerReference w:type="default" r:id="rId11"/>
      <w:type w:val="continuous"/>
      <w:pgSz w:w="11906" w:h="16838" w:code="9"/>
      <w:pgMar w:top="851" w:right="851" w:bottom="851" w:left="851" w:header="425" w:footer="4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222F9" w14:textId="77777777" w:rsidR="00F61AE0" w:rsidRDefault="00F61AE0">
      <w:pPr>
        <w:spacing w:before="0" w:after="0" w:line="240" w:lineRule="auto"/>
      </w:pPr>
      <w:r>
        <w:separator/>
      </w:r>
    </w:p>
  </w:endnote>
  <w:endnote w:type="continuationSeparator" w:id="0">
    <w:p w14:paraId="004174ED" w14:textId="77777777" w:rsidR="00F61AE0" w:rsidRDefault="00F61AE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0B6A7" w14:textId="77777777" w:rsidR="009E3A18" w:rsidRDefault="009E3A18" w:rsidP="005E422C">
    <w:pPr>
      <w:pStyle w:val="Footer"/>
      <w:tabs>
        <w:tab w:val="clear" w:pos="10490"/>
        <w:tab w:val="right" w:pos="10206"/>
      </w:tabs>
      <w:ind w:right="0"/>
    </w:pPr>
    <w:fldSimple w:instr=" FILENAME   \* MERGEFORMAT ">
      <w:r w:rsidRPr="007B62DE">
        <w:t>FlexUp Services-SC Template • 2025-10-31 (Published).docx</w:t>
      </w:r>
    </w:fldSimple>
    <w:r w:rsidRPr="007B62DE">
      <w:tab/>
      <w:t xml:space="preserve">page </w:t>
    </w:r>
    <w:r w:rsidRPr="007B62DE">
      <w:fldChar w:fldCharType="begin"/>
    </w:r>
    <w:r w:rsidRPr="007B62DE">
      <w:instrText xml:space="preserve"> PAGE </w:instrText>
    </w:r>
    <w:r w:rsidRPr="007B62DE">
      <w:fldChar w:fldCharType="separate"/>
    </w:r>
    <w:r w:rsidR="00FE7EC6" w:rsidRPr="007B62DE">
      <w:t>7</w:t>
    </w:r>
    <w:r w:rsidRPr="007B62DE">
      <w:fldChar w:fldCharType="end"/>
    </w:r>
    <w:r w:rsidRPr="007B62DE">
      <w:t xml:space="preserve"> on </w:t>
    </w:r>
    <w:r w:rsidRPr="007B62DE">
      <w:fldChar w:fldCharType="begin"/>
    </w:r>
    <w:r w:rsidRPr="007B62DE">
      <w:instrText xml:space="preserve"> NUMPAGES </w:instrText>
    </w:r>
    <w:r w:rsidRPr="007B62DE">
      <w:fldChar w:fldCharType="separate"/>
    </w:r>
    <w:r w:rsidR="00FE7EC6" w:rsidRPr="007B62DE">
      <w:t>7</w:t>
    </w:r>
    <w:r w:rsidRPr="007B62D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1E4F7" w14:textId="77777777" w:rsidR="00F61AE0" w:rsidRDefault="00F61AE0">
      <w:pPr>
        <w:spacing w:before="0" w:after="0" w:line="240" w:lineRule="auto"/>
      </w:pPr>
      <w:r>
        <w:separator/>
      </w:r>
    </w:p>
  </w:footnote>
  <w:footnote w:type="continuationSeparator" w:id="0">
    <w:p w14:paraId="61ABE8D6" w14:textId="77777777" w:rsidR="00F61AE0" w:rsidRDefault="00F61AE0">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E9261C16"/>
    <w:lvl w:ilvl="0">
      <w:start w:val="1"/>
      <w:numFmt w:val="bullet"/>
      <w:pStyle w:val="List3"/>
      <w:lvlText w:val=""/>
      <w:lvlJc w:val="left"/>
      <w:pPr>
        <w:ind w:left="720" w:hanging="480"/>
      </w:pPr>
      <w:rPr>
        <w:rFonts w:ascii="Symbol" w:hAnsi="Symbol" w:hint="default"/>
      </w:rPr>
    </w:lvl>
    <w:lvl w:ilvl="1">
      <w:numFmt w:val="bullet"/>
      <w:lvlText w:val="–"/>
      <w:lvlJc w:val="left"/>
      <w:pPr>
        <w:ind w:left="1440" w:hanging="480"/>
      </w:pPr>
    </w:lvl>
    <w:lvl w:ilvl="2">
      <w:start w:val="1"/>
      <w:numFmt w:val="bullet"/>
      <w:lvlText w:val=""/>
      <w:lvlJc w:val="left"/>
      <w:pPr>
        <w:ind w:left="2040" w:hanging="360"/>
      </w:pPr>
      <w:rPr>
        <w:rFonts w:ascii="Symbol" w:hAnsi="Symbol" w:hint="default"/>
      </w:r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26606A6E"/>
    <w:multiLevelType w:val="multilevel"/>
    <w:tmpl w:val="64E4136E"/>
    <w:lvl w:ilvl="0">
      <w:start w:val="1"/>
      <w:numFmt w:val="decimal"/>
      <w:lvlRestart w:val="0"/>
      <w:pStyle w:val="Appendix1"/>
      <w:suff w:val="space"/>
      <w:lvlText w:val="Appendix %1."/>
      <w:lvlJc w:val="left"/>
      <w:pPr>
        <w:ind w:left="0" w:firstLine="0"/>
      </w:pPr>
      <w:rPr>
        <w:rFonts w:hint="default"/>
      </w:rPr>
    </w:lvl>
    <w:lvl w:ilvl="1">
      <w:start w:val="1"/>
      <w:numFmt w:val="upperLetter"/>
      <w:pStyle w:val="Appendix2"/>
      <w:suff w:val="space"/>
      <w:lvlText w:val="Section %2."/>
      <w:lvlJc w:val="left"/>
      <w:pPr>
        <w:ind w:left="0" w:firstLine="0"/>
      </w:pPr>
      <w:rPr>
        <w:rFonts w:hint="default"/>
        <w:u w:val="single"/>
      </w:rPr>
    </w:lvl>
    <w:lvl w:ilvl="2">
      <w:start w:val="1"/>
      <w:numFmt w:val="decimal"/>
      <w:lvlRestart w:val="0"/>
      <w:pStyle w:val="Appendix3"/>
      <w:lvlText w:val="%3."/>
      <w:lvlJc w:val="left"/>
      <w:pPr>
        <w:tabs>
          <w:tab w:val="num" w:pos="425"/>
        </w:tabs>
        <w:ind w:left="425" w:hanging="425"/>
      </w:pPr>
      <w:rPr>
        <w:rFonts w:hint="default"/>
      </w:rPr>
    </w:lvl>
    <w:lvl w:ilvl="3">
      <w:start w:val="1"/>
      <w:numFmt w:val="lowerLetter"/>
      <w:pStyle w:val="Appendix4"/>
      <w:lvlText w:val="%4)"/>
      <w:lvlJc w:val="left"/>
      <w:pPr>
        <w:tabs>
          <w:tab w:val="num" w:pos="851"/>
        </w:tabs>
        <w:ind w:left="851" w:hanging="284"/>
      </w:pPr>
      <w:rPr>
        <w:rFonts w:hint="default"/>
      </w:rPr>
    </w:lvl>
    <w:lvl w:ilvl="4">
      <w:start w:val="1"/>
      <w:numFmt w:val="lowerRoman"/>
      <w:pStyle w:val="Appendix5"/>
      <w:lvlText w:val="%5."/>
      <w:lvlJc w:val="left"/>
      <w:pPr>
        <w:ind w:left="1276" w:hanging="284"/>
      </w:pPr>
      <w:rPr>
        <w:rFonts w:hint="default"/>
      </w:rPr>
    </w:lvl>
    <w:lvl w:ilvl="5">
      <w:start w:val="27"/>
      <w:numFmt w:val="lowerLetter"/>
      <w:lvlText w:val="(%6)"/>
      <w:lvlJc w:val="left"/>
      <w:pPr>
        <w:tabs>
          <w:tab w:val="num" w:pos="3844"/>
        </w:tabs>
        <w:ind w:left="0" w:firstLine="0"/>
      </w:pPr>
      <w:rPr>
        <w:rFonts w:hint="default"/>
      </w:rPr>
    </w:lvl>
    <w:lvl w:ilvl="6">
      <w:start w:val="1"/>
      <w:numFmt w:val="none"/>
      <w:lvlText w:val=""/>
      <w:lvlJc w:val="left"/>
      <w:pPr>
        <w:tabs>
          <w:tab w:val="num" w:pos="567"/>
        </w:tabs>
        <w:ind w:left="0" w:firstLine="0"/>
      </w:pPr>
      <w:rPr>
        <w:rFonts w:hint="default"/>
      </w:rPr>
    </w:lvl>
    <w:lvl w:ilvl="7">
      <w:start w:val="1"/>
      <w:numFmt w:val="none"/>
      <w:lvlText w:val=""/>
      <w:lvlJc w:val="left"/>
      <w:pPr>
        <w:tabs>
          <w:tab w:val="num" w:pos="567"/>
        </w:tabs>
        <w:ind w:left="0" w:firstLine="0"/>
      </w:pPr>
      <w:rPr>
        <w:rFonts w:hint="default"/>
      </w:rPr>
    </w:lvl>
    <w:lvl w:ilvl="8">
      <w:start w:val="1"/>
      <w:numFmt w:val="none"/>
      <w:lvlText w:val=""/>
      <w:lvlJc w:val="left"/>
      <w:pPr>
        <w:tabs>
          <w:tab w:val="num" w:pos="567"/>
        </w:tabs>
        <w:ind w:left="0" w:firstLine="0"/>
      </w:pPr>
      <w:rPr>
        <w:rFonts w:hint="default"/>
      </w:rPr>
    </w:lvl>
  </w:abstractNum>
  <w:abstractNum w:abstractNumId="2" w15:restartNumberingAfterBreak="0">
    <w:nsid w:val="493B2628"/>
    <w:multiLevelType w:val="multilevel"/>
    <w:tmpl w:val="ABB6D89C"/>
    <w:lvl w:ilvl="0">
      <w:start w:val="1"/>
      <w:numFmt w:val="upperRoman"/>
      <w:lvlRestart w:val="0"/>
      <w:pStyle w:val="Section"/>
      <w:suff w:val="space"/>
      <w:lvlText w:val="Section %1."/>
      <w:lvlJc w:val="left"/>
      <w:pPr>
        <w:ind w:left="0" w:firstLine="0"/>
      </w:pPr>
      <w:rPr>
        <w:rFonts w:ascii="Open Sans" w:hAnsi="Open Sans" w:hint="default"/>
        <w:b/>
        <w:i w:val="0"/>
        <w:caps/>
        <w:strike w:val="0"/>
        <w:dstrike w:val="0"/>
        <w:vanish w:val="0"/>
        <w:color w:val="auto"/>
        <w:sz w:val="22"/>
        <w:u w:val="single"/>
        <w:vertAlign w:val="baseline"/>
      </w:rPr>
    </w:lvl>
    <w:lvl w:ilvl="1">
      <w:start w:val="1"/>
      <w:numFmt w:val="decimal"/>
      <w:lvlRestart w:val="0"/>
      <w:pStyle w:val="Article1"/>
      <w:suff w:val="space"/>
      <w:lvlText w:val="Article %2."/>
      <w:lvlJc w:val="left"/>
      <w:pPr>
        <w:ind w:left="0" w:firstLine="0"/>
      </w:pPr>
      <w:rPr>
        <w:rFonts w:hint="default"/>
      </w:rPr>
    </w:lvl>
    <w:lvl w:ilvl="2">
      <w:start w:val="1"/>
      <w:numFmt w:val="decimal"/>
      <w:pStyle w:val="Article2"/>
      <w:lvlText w:val="%2.%3"/>
      <w:lvlJc w:val="left"/>
      <w:pPr>
        <w:ind w:left="567" w:hanging="567"/>
      </w:pPr>
      <w:rPr>
        <w:rFonts w:hint="default"/>
      </w:rPr>
    </w:lvl>
    <w:lvl w:ilvl="3">
      <w:start w:val="1"/>
      <w:numFmt w:val="lowerLetter"/>
      <w:pStyle w:val="Article3"/>
      <w:lvlText w:val="%4)"/>
      <w:lvlJc w:val="left"/>
      <w:pPr>
        <w:ind w:left="851" w:hanging="283"/>
      </w:pPr>
      <w:rPr>
        <w:rFonts w:hint="default"/>
      </w:rPr>
    </w:lvl>
    <w:lvl w:ilvl="4">
      <w:start w:val="1"/>
      <w:numFmt w:val="lowerRoman"/>
      <w:pStyle w:val="Article4"/>
      <w:lvlText w:val="%5."/>
      <w:lvlJc w:val="left"/>
      <w:pPr>
        <w:ind w:left="1276" w:hanging="284"/>
      </w:pPr>
      <w:rPr>
        <w:rFonts w:hint="default"/>
      </w:rPr>
    </w:lvl>
    <w:lvl w:ilvl="5">
      <w:start w:val="27"/>
      <w:numFmt w:val="lowerLetter"/>
      <w:lvlText w:val="(%6)"/>
      <w:lvlJc w:val="left"/>
      <w:pPr>
        <w:tabs>
          <w:tab w:val="num" w:pos="3277"/>
        </w:tabs>
        <w:ind w:left="1420" w:firstLine="0"/>
      </w:pPr>
      <w:rPr>
        <w:rFonts w:hint="default"/>
      </w:rPr>
    </w:lvl>
    <w:lvl w:ilvl="6">
      <w:start w:val="1"/>
      <w:numFmt w:val="none"/>
      <w:lvlText w:val=""/>
      <w:lvlJc w:val="left"/>
      <w:pPr>
        <w:tabs>
          <w:tab w:val="num" w:pos="0"/>
        </w:tabs>
        <w:ind w:left="1704" w:firstLine="0"/>
      </w:pPr>
      <w:rPr>
        <w:rFonts w:hint="default"/>
      </w:rPr>
    </w:lvl>
    <w:lvl w:ilvl="7">
      <w:start w:val="1"/>
      <w:numFmt w:val="none"/>
      <w:lvlText w:val=""/>
      <w:lvlJc w:val="left"/>
      <w:pPr>
        <w:tabs>
          <w:tab w:val="num" w:pos="0"/>
        </w:tabs>
        <w:ind w:left="1988" w:firstLine="0"/>
      </w:pPr>
      <w:rPr>
        <w:rFonts w:hint="default"/>
      </w:rPr>
    </w:lvl>
    <w:lvl w:ilvl="8">
      <w:start w:val="1"/>
      <w:numFmt w:val="none"/>
      <w:lvlText w:val=""/>
      <w:lvlJc w:val="left"/>
      <w:pPr>
        <w:tabs>
          <w:tab w:val="num" w:pos="0"/>
        </w:tabs>
        <w:ind w:left="2272" w:firstLine="0"/>
      </w:pPr>
      <w:rPr>
        <w:rFonts w:hint="default"/>
      </w:rPr>
    </w:lvl>
  </w:abstractNum>
  <w:abstractNum w:abstractNumId="3" w15:restartNumberingAfterBreak="0">
    <w:nsid w:val="49410109"/>
    <w:multiLevelType w:val="hybridMultilevel"/>
    <w:tmpl w:val="B11042E8"/>
    <w:lvl w:ilvl="0" w:tplc="C65E8664">
      <w:start w:val="1"/>
      <w:numFmt w:val="bullet"/>
      <w:pStyle w:val="List2"/>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4B041A64"/>
    <w:multiLevelType w:val="hybridMultilevel"/>
    <w:tmpl w:val="0E0EA580"/>
    <w:lvl w:ilvl="0" w:tplc="041A953C">
      <w:start w:val="1"/>
      <w:numFmt w:val="bullet"/>
      <w:pStyle w:val="Lis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2097824588">
    <w:abstractNumId w:val="1"/>
  </w:num>
  <w:num w:numId="2" w16cid:durableId="1410882008">
    <w:abstractNumId w:val="4"/>
  </w:num>
  <w:num w:numId="3" w16cid:durableId="1147824350">
    <w:abstractNumId w:val="3"/>
  </w:num>
  <w:num w:numId="4" w16cid:durableId="656108991">
    <w:abstractNumId w:val="0"/>
  </w:num>
  <w:num w:numId="5" w16cid:durableId="1797529125">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NotTrackMoves/>
  <w:defaultTabStop w:val="708"/>
  <w:hyphenationZone w:val="283"/>
  <w:drawingGridHorizontalSpacing w:val="110"/>
  <w:drawingGridVerticalSpacing w:val="36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28E1"/>
    <w:rsid w:val="00000ED0"/>
    <w:rsid w:val="00004704"/>
    <w:rsid w:val="00007658"/>
    <w:rsid w:val="00007A22"/>
    <w:rsid w:val="00007BF1"/>
    <w:rsid w:val="00010236"/>
    <w:rsid w:val="00010AED"/>
    <w:rsid w:val="00010BFB"/>
    <w:rsid w:val="00013C49"/>
    <w:rsid w:val="00013EB2"/>
    <w:rsid w:val="00014340"/>
    <w:rsid w:val="000154AB"/>
    <w:rsid w:val="00020609"/>
    <w:rsid w:val="00020BB5"/>
    <w:rsid w:val="00020E27"/>
    <w:rsid w:val="00021F86"/>
    <w:rsid w:val="00024A5D"/>
    <w:rsid w:val="00025820"/>
    <w:rsid w:val="000269FD"/>
    <w:rsid w:val="00027857"/>
    <w:rsid w:val="00030F47"/>
    <w:rsid w:val="00031D10"/>
    <w:rsid w:val="00032AED"/>
    <w:rsid w:val="000332F0"/>
    <w:rsid w:val="000345CD"/>
    <w:rsid w:val="00035F2C"/>
    <w:rsid w:val="000378DD"/>
    <w:rsid w:val="00037D90"/>
    <w:rsid w:val="00040688"/>
    <w:rsid w:val="00042CE3"/>
    <w:rsid w:val="0004367B"/>
    <w:rsid w:val="000445B4"/>
    <w:rsid w:val="000445CD"/>
    <w:rsid w:val="00045234"/>
    <w:rsid w:val="0004755D"/>
    <w:rsid w:val="00047D3B"/>
    <w:rsid w:val="00050D9D"/>
    <w:rsid w:val="000513AB"/>
    <w:rsid w:val="00051660"/>
    <w:rsid w:val="00051944"/>
    <w:rsid w:val="00051A2A"/>
    <w:rsid w:val="00052617"/>
    <w:rsid w:val="00052F61"/>
    <w:rsid w:val="0005370D"/>
    <w:rsid w:val="00054750"/>
    <w:rsid w:val="00054D3C"/>
    <w:rsid w:val="00055E6A"/>
    <w:rsid w:val="00056297"/>
    <w:rsid w:val="00056823"/>
    <w:rsid w:val="00056FC1"/>
    <w:rsid w:val="000610BD"/>
    <w:rsid w:val="000621A5"/>
    <w:rsid w:val="000634F3"/>
    <w:rsid w:val="000641D9"/>
    <w:rsid w:val="000643B7"/>
    <w:rsid w:val="00065B82"/>
    <w:rsid w:val="00065F2C"/>
    <w:rsid w:val="0007003D"/>
    <w:rsid w:val="00070776"/>
    <w:rsid w:val="00070A45"/>
    <w:rsid w:val="00070A89"/>
    <w:rsid w:val="00070C19"/>
    <w:rsid w:val="00071102"/>
    <w:rsid w:val="00072CDA"/>
    <w:rsid w:val="000734EB"/>
    <w:rsid w:val="000743F9"/>
    <w:rsid w:val="000751AC"/>
    <w:rsid w:val="00075702"/>
    <w:rsid w:val="00075EE8"/>
    <w:rsid w:val="000761A8"/>
    <w:rsid w:val="00076C6A"/>
    <w:rsid w:val="00077263"/>
    <w:rsid w:val="00077756"/>
    <w:rsid w:val="00080ED4"/>
    <w:rsid w:val="00081CB0"/>
    <w:rsid w:val="0008347F"/>
    <w:rsid w:val="00083E96"/>
    <w:rsid w:val="00084C83"/>
    <w:rsid w:val="000850EB"/>
    <w:rsid w:val="000852A7"/>
    <w:rsid w:val="0008597B"/>
    <w:rsid w:val="00093F17"/>
    <w:rsid w:val="0009433E"/>
    <w:rsid w:val="00095CA4"/>
    <w:rsid w:val="000968D7"/>
    <w:rsid w:val="00096BCD"/>
    <w:rsid w:val="000972E5"/>
    <w:rsid w:val="000A024E"/>
    <w:rsid w:val="000A0344"/>
    <w:rsid w:val="000A2139"/>
    <w:rsid w:val="000A4CFC"/>
    <w:rsid w:val="000A5443"/>
    <w:rsid w:val="000A544E"/>
    <w:rsid w:val="000A58C3"/>
    <w:rsid w:val="000A5C83"/>
    <w:rsid w:val="000A5FB2"/>
    <w:rsid w:val="000A6978"/>
    <w:rsid w:val="000A7247"/>
    <w:rsid w:val="000A7357"/>
    <w:rsid w:val="000A74FC"/>
    <w:rsid w:val="000A75CA"/>
    <w:rsid w:val="000A7754"/>
    <w:rsid w:val="000B0501"/>
    <w:rsid w:val="000B0823"/>
    <w:rsid w:val="000B0A76"/>
    <w:rsid w:val="000B0B9A"/>
    <w:rsid w:val="000B1991"/>
    <w:rsid w:val="000B3AC5"/>
    <w:rsid w:val="000B3EAB"/>
    <w:rsid w:val="000B6669"/>
    <w:rsid w:val="000B6A3C"/>
    <w:rsid w:val="000B7E53"/>
    <w:rsid w:val="000C0764"/>
    <w:rsid w:val="000C1FED"/>
    <w:rsid w:val="000C3D2C"/>
    <w:rsid w:val="000C6105"/>
    <w:rsid w:val="000D0638"/>
    <w:rsid w:val="000D0886"/>
    <w:rsid w:val="000D0A58"/>
    <w:rsid w:val="000D259B"/>
    <w:rsid w:val="000D2F1D"/>
    <w:rsid w:val="000D31F6"/>
    <w:rsid w:val="000D3A51"/>
    <w:rsid w:val="000D3FEE"/>
    <w:rsid w:val="000D4A7C"/>
    <w:rsid w:val="000D4B32"/>
    <w:rsid w:val="000D6DA6"/>
    <w:rsid w:val="000D7501"/>
    <w:rsid w:val="000E00B1"/>
    <w:rsid w:val="000E2DE3"/>
    <w:rsid w:val="000E3ADE"/>
    <w:rsid w:val="000E51A1"/>
    <w:rsid w:val="000E59ED"/>
    <w:rsid w:val="000E5E47"/>
    <w:rsid w:val="000E7B07"/>
    <w:rsid w:val="000E7DBF"/>
    <w:rsid w:val="000F0D9C"/>
    <w:rsid w:val="000F10CA"/>
    <w:rsid w:val="000F1F5C"/>
    <w:rsid w:val="000F237E"/>
    <w:rsid w:val="000F257F"/>
    <w:rsid w:val="000F2588"/>
    <w:rsid w:val="000F320F"/>
    <w:rsid w:val="000F3857"/>
    <w:rsid w:val="000F4F6D"/>
    <w:rsid w:val="000F62C6"/>
    <w:rsid w:val="000F657B"/>
    <w:rsid w:val="000F6F0F"/>
    <w:rsid w:val="000F7052"/>
    <w:rsid w:val="000F7082"/>
    <w:rsid w:val="0010120B"/>
    <w:rsid w:val="00102DD4"/>
    <w:rsid w:val="00103208"/>
    <w:rsid w:val="00103DEA"/>
    <w:rsid w:val="001060A9"/>
    <w:rsid w:val="00106118"/>
    <w:rsid w:val="00106DF9"/>
    <w:rsid w:val="00107EFB"/>
    <w:rsid w:val="001107EF"/>
    <w:rsid w:val="001110ED"/>
    <w:rsid w:val="001122A9"/>
    <w:rsid w:val="0011232E"/>
    <w:rsid w:val="0011316A"/>
    <w:rsid w:val="001135FC"/>
    <w:rsid w:val="001139A8"/>
    <w:rsid w:val="00113D53"/>
    <w:rsid w:val="00115453"/>
    <w:rsid w:val="00117163"/>
    <w:rsid w:val="0011753F"/>
    <w:rsid w:val="001202D9"/>
    <w:rsid w:val="00121024"/>
    <w:rsid w:val="0012122D"/>
    <w:rsid w:val="0012190D"/>
    <w:rsid w:val="00122D4B"/>
    <w:rsid w:val="00123F49"/>
    <w:rsid w:val="00123FFA"/>
    <w:rsid w:val="0012400E"/>
    <w:rsid w:val="001258C7"/>
    <w:rsid w:val="00126A5A"/>
    <w:rsid w:val="00126F94"/>
    <w:rsid w:val="00127EA0"/>
    <w:rsid w:val="00130867"/>
    <w:rsid w:val="001309E5"/>
    <w:rsid w:val="00130F03"/>
    <w:rsid w:val="00132975"/>
    <w:rsid w:val="00133371"/>
    <w:rsid w:val="00133C57"/>
    <w:rsid w:val="00134482"/>
    <w:rsid w:val="001347C2"/>
    <w:rsid w:val="00135826"/>
    <w:rsid w:val="00135C33"/>
    <w:rsid w:val="001379C1"/>
    <w:rsid w:val="00140F00"/>
    <w:rsid w:val="00141E65"/>
    <w:rsid w:val="0014247C"/>
    <w:rsid w:val="001443F0"/>
    <w:rsid w:val="0014444E"/>
    <w:rsid w:val="00144A8D"/>
    <w:rsid w:val="001460DB"/>
    <w:rsid w:val="001474A8"/>
    <w:rsid w:val="00147D6F"/>
    <w:rsid w:val="00150202"/>
    <w:rsid w:val="00150FE7"/>
    <w:rsid w:val="001517E6"/>
    <w:rsid w:val="001522BF"/>
    <w:rsid w:val="00153117"/>
    <w:rsid w:val="00154BED"/>
    <w:rsid w:val="00154F2C"/>
    <w:rsid w:val="001552DA"/>
    <w:rsid w:val="001577D5"/>
    <w:rsid w:val="0016080A"/>
    <w:rsid w:val="00160ABB"/>
    <w:rsid w:val="001614BF"/>
    <w:rsid w:val="0016166C"/>
    <w:rsid w:val="00162991"/>
    <w:rsid w:val="00162E1A"/>
    <w:rsid w:val="0016371B"/>
    <w:rsid w:val="00163A5D"/>
    <w:rsid w:val="00163C33"/>
    <w:rsid w:val="00164102"/>
    <w:rsid w:val="00164D16"/>
    <w:rsid w:val="00165285"/>
    <w:rsid w:val="001653F9"/>
    <w:rsid w:val="00167E1E"/>
    <w:rsid w:val="001708C9"/>
    <w:rsid w:val="00170A2E"/>
    <w:rsid w:val="00173C02"/>
    <w:rsid w:val="0017401C"/>
    <w:rsid w:val="001745A3"/>
    <w:rsid w:val="00174ABA"/>
    <w:rsid w:val="00175304"/>
    <w:rsid w:val="00176328"/>
    <w:rsid w:val="001769D6"/>
    <w:rsid w:val="001771FF"/>
    <w:rsid w:val="001775B8"/>
    <w:rsid w:val="001777CC"/>
    <w:rsid w:val="0017787C"/>
    <w:rsid w:val="00181F97"/>
    <w:rsid w:val="0018232E"/>
    <w:rsid w:val="00182341"/>
    <w:rsid w:val="00182CBE"/>
    <w:rsid w:val="00183130"/>
    <w:rsid w:val="00184CD7"/>
    <w:rsid w:val="00184D86"/>
    <w:rsid w:val="001851C7"/>
    <w:rsid w:val="00185242"/>
    <w:rsid w:val="001868F4"/>
    <w:rsid w:val="00186FFC"/>
    <w:rsid w:val="00187A59"/>
    <w:rsid w:val="00187B55"/>
    <w:rsid w:val="00190303"/>
    <w:rsid w:val="00190EAF"/>
    <w:rsid w:val="00191EA0"/>
    <w:rsid w:val="00192C5B"/>
    <w:rsid w:val="00192D3C"/>
    <w:rsid w:val="0019334C"/>
    <w:rsid w:val="001933C9"/>
    <w:rsid w:val="0019651C"/>
    <w:rsid w:val="00196CD1"/>
    <w:rsid w:val="001974E4"/>
    <w:rsid w:val="001A1AA4"/>
    <w:rsid w:val="001A349D"/>
    <w:rsid w:val="001A3AB5"/>
    <w:rsid w:val="001A3CC2"/>
    <w:rsid w:val="001A4481"/>
    <w:rsid w:val="001A4813"/>
    <w:rsid w:val="001A4DE4"/>
    <w:rsid w:val="001A71A0"/>
    <w:rsid w:val="001A76B5"/>
    <w:rsid w:val="001B13D2"/>
    <w:rsid w:val="001B1A00"/>
    <w:rsid w:val="001B268E"/>
    <w:rsid w:val="001B2D98"/>
    <w:rsid w:val="001B408A"/>
    <w:rsid w:val="001B4AA5"/>
    <w:rsid w:val="001B6A40"/>
    <w:rsid w:val="001B6EAC"/>
    <w:rsid w:val="001B77B2"/>
    <w:rsid w:val="001C0061"/>
    <w:rsid w:val="001C01CB"/>
    <w:rsid w:val="001C08F2"/>
    <w:rsid w:val="001C0C96"/>
    <w:rsid w:val="001C147A"/>
    <w:rsid w:val="001C2846"/>
    <w:rsid w:val="001C3463"/>
    <w:rsid w:val="001C4593"/>
    <w:rsid w:val="001C5900"/>
    <w:rsid w:val="001C6688"/>
    <w:rsid w:val="001C6B3B"/>
    <w:rsid w:val="001D1050"/>
    <w:rsid w:val="001D2494"/>
    <w:rsid w:val="001D27E3"/>
    <w:rsid w:val="001D3A80"/>
    <w:rsid w:val="001D4C3E"/>
    <w:rsid w:val="001D59CE"/>
    <w:rsid w:val="001D66A3"/>
    <w:rsid w:val="001E06AF"/>
    <w:rsid w:val="001E1112"/>
    <w:rsid w:val="001E119C"/>
    <w:rsid w:val="001E1B04"/>
    <w:rsid w:val="001E242F"/>
    <w:rsid w:val="001E2D60"/>
    <w:rsid w:val="001E3D69"/>
    <w:rsid w:val="001E45FA"/>
    <w:rsid w:val="001E4BB9"/>
    <w:rsid w:val="001E59FC"/>
    <w:rsid w:val="001E5A8F"/>
    <w:rsid w:val="001E60A8"/>
    <w:rsid w:val="001E7BF5"/>
    <w:rsid w:val="001F0C75"/>
    <w:rsid w:val="001F2647"/>
    <w:rsid w:val="001F2A49"/>
    <w:rsid w:val="001F3382"/>
    <w:rsid w:val="001F45BB"/>
    <w:rsid w:val="001F51E6"/>
    <w:rsid w:val="001F58E5"/>
    <w:rsid w:val="001F6241"/>
    <w:rsid w:val="001F66C9"/>
    <w:rsid w:val="001F688A"/>
    <w:rsid w:val="001F71A1"/>
    <w:rsid w:val="001F7BE5"/>
    <w:rsid w:val="0020030D"/>
    <w:rsid w:val="0020067B"/>
    <w:rsid w:val="00202F63"/>
    <w:rsid w:val="00204376"/>
    <w:rsid w:val="0020518B"/>
    <w:rsid w:val="00206237"/>
    <w:rsid w:val="00206718"/>
    <w:rsid w:val="00206DF0"/>
    <w:rsid w:val="00207AAC"/>
    <w:rsid w:val="00207EDC"/>
    <w:rsid w:val="0021011C"/>
    <w:rsid w:val="0021019F"/>
    <w:rsid w:val="00210A49"/>
    <w:rsid w:val="00211301"/>
    <w:rsid w:val="00211852"/>
    <w:rsid w:val="00211A3F"/>
    <w:rsid w:val="00212260"/>
    <w:rsid w:val="00214581"/>
    <w:rsid w:val="00214DFA"/>
    <w:rsid w:val="00215464"/>
    <w:rsid w:val="002160B8"/>
    <w:rsid w:val="00216243"/>
    <w:rsid w:val="0021728A"/>
    <w:rsid w:val="0021747E"/>
    <w:rsid w:val="00217718"/>
    <w:rsid w:val="002206D4"/>
    <w:rsid w:val="00220C99"/>
    <w:rsid w:val="00221A25"/>
    <w:rsid w:val="00222550"/>
    <w:rsid w:val="00222E2A"/>
    <w:rsid w:val="0022356C"/>
    <w:rsid w:val="002240DB"/>
    <w:rsid w:val="00224446"/>
    <w:rsid w:val="002257C7"/>
    <w:rsid w:val="00225A71"/>
    <w:rsid w:val="00225DD2"/>
    <w:rsid w:val="00226759"/>
    <w:rsid w:val="002270DA"/>
    <w:rsid w:val="0022722A"/>
    <w:rsid w:val="00227601"/>
    <w:rsid w:val="00230B56"/>
    <w:rsid w:val="00232637"/>
    <w:rsid w:val="0023383E"/>
    <w:rsid w:val="002339D8"/>
    <w:rsid w:val="002341D6"/>
    <w:rsid w:val="00234527"/>
    <w:rsid w:val="0023468E"/>
    <w:rsid w:val="0023479E"/>
    <w:rsid w:val="00234EE8"/>
    <w:rsid w:val="00235F89"/>
    <w:rsid w:val="00236E38"/>
    <w:rsid w:val="002370FD"/>
    <w:rsid w:val="00240283"/>
    <w:rsid w:val="002403DC"/>
    <w:rsid w:val="002409BC"/>
    <w:rsid w:val="00241194"/>
    <w:rsid w:val="00241AD3"/>
    <w:rsid w:val="002433BC"/>
    <w:rsid w:val="00245669"/>
    <w:rsid w:val="0024743B"/>
    <w:rsid w:val="0024769B"/>
    <w:rsid w:val="00247EC7"/>
    <w:rsid w:val="00247F77"/>
    <w:rsid w:val="00251DDE"/>
    <w:rsid w:val="00251FD8"/>
    <w:rsid w:val="00252B8C"/>
    <w:rsid w:val="00253463"/>
    <w:rsid w:val="00254F44"/>
    <w:rsid w:val="00255AE3"/>
    <w:rsid w:val="00255B23"/>
    <w:rsid w:val="00256444"/>
    <w:rsid w:val="00257B28"/>
    <w:rsid w:val="00257B4D"/>
    <w:rsid w:val="00257FF5"/>
    <w:rsid w:val="0026055F"/>
    <w:rsid w:val="00260966"/>
    <w:rsid w:val="00261BB0"/>
    <w:rsid w:val="00261D13"/>
    <w:rsid w:val="00261E8F"/>
    <w:rsid w:val="00262103"/>
    <w:rsid w:val="00263105"/>
    <w:rsid w:val="0026338D"/>
    <w:rsid w:val="00263CEF"/>
    <w:rsid w:val="00263FA7"/>
    <w:rsid w:val="002641C6"/>
    <w:rsid w:val="002648A9"/>
    <w:rsid w:val="0026682F"/>
    <w:rsid w:val="00267151"/>
    <w:rsid w:val="00267174"/>
    <w:rsid w:val="00270AD4"/>
    <w:rsid w:val="0027179D"/>
    <w:rsid w:val="00271FCF"/>
    <w:rsid w:val="00272AF6"/>
    <w:rsid w:val="00272EF2"/>
    <w:rsid w:val="00273060"/>
    <w:rsid w:val="00273B20"/>
    <w:rsid w:val="00274341"/>
    <w:rsid w:val="00274449"/>
    <w:rsid w:val="00274815"/>
    <w:rsid w:val="0027545C"/>
    <w:rsid w:val="002759FB"/>
    <w:rsid w:val="00275D4E"/>
    <w:rsid w:val="0027624C"/>
    <w:rsid w:val="002767D0"/>
    <w:rsid w:val="002770E8"/>
    <w:rsid w:val="00277E64"/>
    <w:rsid w:val="00280776"/>
    <w:rsid w:val="00280AAF"/>
    <w:rsid w:val="00281A13"/>
    <w:rsid w:val="00281BA8"/>
    <w:rsid w:val="00281DDD"/>
    <w:rsid w:val="00283311"/>
    <w:rsid w:val="0028492D"/>
    <w:rsid w:val="00290825"/>
    <w:rsid w:val="002919C0"/>
    <w:rsid w:val="002924F9"/>
    <w:rsid w:val="00292C79"/>
    <w:rsid w:val="002931C8"/>
    <w:rsid w:val="0029370E"/>
    <w:rsid w:val="002940E7"/>
    <w:rsid w:val="00294DF4"/>
    <w:rsid w:val="00297943"/>
    <w:rsid w:val="00297DA4"/>
    <w:rsid w:val="00297DE0"/>
    <w:rsid w:val="002A0196"/>
    <w:rsid w:val="002A1EEE"/>
    <w:rsid w:val="002A1FDB"/>
    <w:rsid w:val="002A2147"/>
    <w:rsid w:val="002A3C9E"/>
    <w:rsid w:val="002A4884"/>
    <w:rsid w:val="002A620B"/>
    <w:rsid w:val="002A65E8"/>
    <w:rsid w:val="002A78B5"/>
    <w:rsid w:val="002A7D72"/>
    <w:rsid w:val="002B1931"/>
    <w:rsid w:val="002B1F9D"/>
    <w:rsid w:val="002B23C5"/>
    <w:rsid w:val="002B43C2"/>
    <w:rsid w:val="002B44B6"/>
    <w:rsid w:val="002B4E54"/>
    <w:rsid w:val="002B5220"/>
    <w:rsid w:val="002B5FFA"/>
    <w:rsid w:val="002B6341"/>
    <w:rsid w:val="002B6C9A"/>
    <w:rsid w:val="002B7426"/>
    <w:rsid w:val="002C2554"/>
    <w:rsid w:val="002C38D7"/>
    <w:rsid w:val="002C4FEA"/>
    <w:rsid w:val="002C55E2"/>
    <w:rsid w:val="002C644C"/>
    <w:rsid w:val="002C647A"/>
    <w:rsid w:val="002C6F73"/>
    <w:rsid w:val="002C7516"/>
    <w:rsid w:val="002C75C0"/>
    <w:rsid w:val="002C79AC"/>
    <w:rsid w:val="002C7CB2"/>
    <w:rsid w:val="002D034B"/>
    <w:rsid w:val="002D0A06"/>
    <w:rsid w:val="002D0FF4"/>
    <w:rsid w:val="002D1B49"/>
    <w:rsid w:val="002D2286"/>
    <w:rsid w:val="002D288E"/>
    <w:rsid w:val="002D33DC"/>
    <w:rsid w:val="002D35CB"/>
    <w:rsid w:val="002D35D9"/>
    <w:rsid w:val="002D370D"/>
    <w:rsid w:val="002D3AC0"/>
    <w:rsid w:val="002D46BF"/>
    <w:rsid w:val="002D5060"/>
    <w:rsid w:val="002D63B1"/>
    <w:rsid w:val="002D734B"/>
    <w:rsid w:val="002E038B"/>
    <w:rsid w:val="002E05BE"/>
    <w:rsid w:val="002E1631"/>
    <w:rsid w:val="002E2350"/>
    <w:rsid w:val="002E53E2"/>
    <w:rsid w:val="002E5801"/>
    <w:rsid w:val="002F0843"/>
    <w:rsid w:val="002F14FB"/>
    <w:rsid w:val="002F2A33"/>
    <w:rsid w:val="002F31F7"/>
    <w:rsid w:val="002F360B"/>
    <w:rsid w:val="002F3AC3"/>
    <w:rsid w:val="002F5DA2"/>
    <w:rsid w:val="003005BE"/>
    <w:rsid w:val="00300B4A"/>
    <w:rsid w:val="00300B69"/>
    <w:rsid w:val="0030115D"/>
    <w:rsid w:val="00301308"/>
    <w:rsid w:val="00304D6D"/>
    <w:rsid w:val="00305987"/>
    <w:rsid w:val="003060DD"/>
    <w:rsid w:val="003066D6"/>
    <w:rsid w:val="00306C74"/>
    <w:rsid w:val="003071AA"/>
    <w:rsid w:val="0030738C"/>
    <w:rsid w:val="0030772E"/>
    <w:rsid w:val="0031096D"/>
    <w:rsid w:val="003113CE"/>
    <w:rsid w:val="003124A7"/>
    <w:rsid w:val="00312904"/>
    <w:rsid w:val="0031304C"/>
    <w:rsid w:val="00313BBC"/>
    <w:rsid w:val="00313E76"/>
    <w:rsid w:val="003143C9"/>
    <w:rsid w:val="003147AF"/>
    <w:rsid w:val="00315D47"/>
    <w:rsid w:val="00317B72"/>
    <w:rsid w:val="00317F5B"/>
    <w:rsid w:val="0032069F"/>
    <w:rsid w:val="00320E0B"/>
    <w:rsid w:val="00320FF8"/>
    <w:rsid w:val="00321FAF"/>
    <w:rsid w:val="00322FCF"/>
    <w:rsid w:val="003232D9"/>
    <w:rsid w:val="00324428"/>
    <w:rsid w:val="0032556A"/>
    <w:rsid w:val="00325B1D"/>
    <w:rsid w:val="00327196"/>
    <w:rsid w:val="0032777D"/>
    <w:rsid w:val="00330513"/>
    <w:rsid w:val="00331927"/>
    <w:rsid w:val="00331E3A"/>
    <w:rsid w:val="00332556"/>
    <w:rsid w:val="00332996"/>
    <w:rsid w:val="00333496"/>
    <w:rsid w:val="003340F9"/>
    <w:rsid w:val="00334332"/>
    <w:rsid w:val="003352A7"/>
    <w:rsid w:val="0033595E"/>
    <w:rsid w:val="00336012"/>
    <w:rsid w:val="003364AE"/>
    <w:rsid w:val="00336541"/>
    <w:rsid w:val="00336601"/>
    <w:rsid w:val="00336658"/>
    <w:rsid w:val="003366BB"/>
    <w:rsid w:val="003375EF"/>
    <w:rsid w:val="003376FE"/>
    <w:rsid w:val="00337A3F"/>
    <w:rsid w:val="003417F1"/>
    <w:rsid w:val="00341F1A"/>
    <w:rsid w:val="0034301F"/>
    <w:rsid w:val="0034368F"/>
    <w:rsid w:val="003447E9"/>
    <w:rsid w:val="003457CB"/>
    <w:rsid w:val="00346312"/>
    <w:rsid w:val="0034669E"/>
    <w:rsid w:val="00347442"/>
    <w:rsid w:val="00347B7D"/>
    <w:rsid w:val="003504E5"/>
    <w:rsid w:val="00350994"/>
    <w:rsid w:val="00354331"/>
    <w:rsid w:val="00354503"/>
    <w:rsid w:val="00355ED8"/>
    <w:rsid w:val="00356247"/>
    <w:rsid w:val="00356FBE"/>
    <w:rsid w:val="00357266"/>
    <w:rsid w:val="0036132C"/>
    <w:rsid w:val="00361C63"/>
    <w:rsid w:val="00362AB4"/>
    <w:rsid w:val="00363B59"/>
    <w:rsid w:val="003647F3"/>
    <w:rsid w:val="00364AC2"/>
    <w:rsid w:val="00365AFE"/>
    <w:rsid w:val="00365E1E"/>
    <w:rsid w:val="003674A5"/>
    <w:rsid w:val="00367C1B"/>
    <w:rsid w:val="003703F0"/>
    <w:rsid w:val="00370A32"/>
    <w:rsid w:val="0037156C"/>
    <w:rsid w:val="003716E6"/>
    <w:rsid w:val="00371E0A"/>
    <w:rsid w:val="003722B7"/>
    <w:rsid w:val="00372954"/>
    <w:rsid w:val="00373782"/>
    <w:rsid w:val="00373A12"/>
    <w:rsid w:val="00373C13"/>
    <w:rsid w:val="003759EF"/>
    <w:rsid w:val="003759F5"/>
    <w:rsid w:val="00377149"/>
    <w:rsid w:val="0038050B"/>
    <w:rsid w:val="00382BA8"/>
    <w:rsid w:val="003844A2"/>
    <w:rsid w:val="00384D2D"/>
    <w:rsid w:val="00385514"/>
    <w:rsid w:val="00385996"/>
    <w:rsid w:val="003860A1"/>
    <w:rsid w:val="00387840"/>
    <w:rsid w:val="0039307D"/>
    <w:rsid w:val="003941FA"/>
    <w:rsid w:val="00394CCE"/>
    <w:rsid w:val="003952E8"/>
    <w:rsid w:val="0039598B"/>
    <w:rsid w:val="00395C87"/>
    <w:rsid w:val="00395E8D"/>
    <w:rsid w:val="00396857"/>
    <w:rsid w:val="00396CA0"/>
    <w:rsid w:val="00397712"/>
    <w:rsid w:val="00397798"/>
    <w:rsid w:val="003A0BB0"/>
    <w:rsid w:val="003A1366"/>
    <w:rsid w:val="003A1EC4"/>
    <w:rsid w:val="003A646F"/>
    <w:rsid w:val="003A68C9"/>
    <w:rsid w:val="003A6A0E"/>
    <w:rsid w:val="003A7499"/>
    <w:rsid w:val="003A77A4"/>
    <w:rsid w:val="003A7F0D"/>
    <w:rsid w:val="003A7F71"/>
    <w:rsid w:val="003B0D4A"/>
    <w:rsid w:val="003B11E3"/>
    <w:rsid w:val="003B35CC"/>
    <w:rsid w:val="003B3BCF"/>
    <w:rsid w:val="003B4A3F"/>
    <w:rsid w:val="003B54DA"/>
    <w:rsid w:val="003B65CF"/>
    <w:rsid w:val="003B6746"/>
    <w:rsid w:val="003B69A4"/>
    <w:rsid w:val="003B6A67"/>
    <w:rsid w:val="003B7AF8"/>
    <w:rsid w:val="003C08FE"/>
    <w:rsid w:val="003C1048"/>
    <w:rsid w:val="003C4663"/>
    <w:rsid w:val="003C5E82"/>
    <w:rsid w:val="003C5F56"/>
    <w:rsid w:val="003C7B43"/>
    <w:rsid w:val="003D15C7"/>
    <w:rsid w:val="003D1E02"/>
    <w:rsid w:val="003D26ED"/>
    <w:rsid w:val="003D2BCE"/>
    <w:rsid w:val="003D32C7"/>
    <w:rsid w:val="003D3E4B"/>
    <w:rsid w:val="003D4172"/>
    <w:rsid w:val="003D46E2"/>
    <w:rsid w:val="003D479D"/>
    <w:rsid w:val="003D47BD"/>
    <w:rsid w:val="003D4BFF"/>
    <w:rsid w:val="003D4DD5"/>
    <w:rsid w:val="003D74AF"/>
    <w:rsid w:val="003D7693"/>
    <w:rsid w:val="003D7F5F"/>
    <w:rsid w:val="003E0517"/>
    <w:rsid w:val="003E0F35"/>
    <w:rsid w:val="003E1989"/>
    <w:rsid w:val="003E2523"/>
    <w:rsid w:val="003E336B"/>
    <w:rsid w:val="003E3FAC"/>
    <w:rsid w:val="003E40B9"/>
    <w:rsid w:val="003E4268"/>
    <w:rsid w:val="003E42F8"/>
    <w:rsid w:val="003E45F2"/>
    <w:rsid w:val="003E4744"/>
    <w:rsid w:val="003E59ED"/>
    <w:rsid w:val="003E7488"/>
    <w:rsid w:val="003E7D05"/>
    <w:rsid w:val="003F005E"/>
    <w:rsid w:val="003F0A88"/>
    <w:rsid w:val="003F276F"/>
    <w:rsid w:val="003F2B55"/>
    <w:rsid w:val="003F2BA4"/>
    <w:rsid w:val="003F3027"/>
    <w:rsid w:val="003F3324"/>
    <w:rsid w:val="003F3CEB"/>
    <w:rsid w:val="003F4CB6"/>
    <w:rsid w:val="003F525C"/>
    <w:rsid w:val="003F5B73"/>
    <w:rsid w:val="003F649D"/>
    <w:rsid w:val="003F6A73"/>
    <w:rsid w:val="003F7C6B"/>
    <w:rsid w:val="004002DD"/>
    <w:rsid w:val="004008D4"/>
    <w:rsid w:val="00400C37"/>
    <w:rsid w:val="00401B58"/>
    <w:rsid w:val="00401DB4"/>
    <w:rsid w:val="00402765"/>
    <w:rsid w:val="004028BB"/>
    <w:rsid w:val="00402C3D"/>
    <w:rsid w:val="00402D5C"/>
    <w:rsid w:val="004033F3"/>
    <w:rsid w:val="00403BA4"/>
    <w:rsid w:val="00403DFE"/>
    <w:rsid w:val="00403EA2"/>
    <w:rsid w:val="004044AD"/>
    <w:rsid w:val="004044FE"/>
    <w:rsid w:val="00405925"/>
    <w:rsid w:val="00405E06"/>
    <w:rsid w:val="00406C6D"/>
    <w:rsid w:val="00407FF0"/>
    <w:rsid w:val="00410122"/>
    <w:rsid w:val="00410D43"/>
    <w:rsid w:val="00411046"/>
    <w:rsid w:val="00411306"/>
    <w:rsid w:val="00411453"/>
    <w:rsid w:val="004117DC"/>
    <w:rsid w:val="00413138"/>
    <w:rsid w:val="0041382E"/>
    <w:rsid w:val="004138AE"/>
    <w:rsid w:val="00415ADB"/>
    <w:rsid w:val="00416CE4"/>
    <w:rsid w:val="00416F3F"/>
    <w:rsid w:val="004173A9"/>
    <w:rsid w:val="00417408"/>
    <w:rsid w:val="00417AB9"/>
    <w:rsid w:val="00417EB6"/>
    <w:rsid w:val="00417F19"/>
    <w:rsid w:val="00417F9E"/>
    <w:rsid w:val="0042031B"/>
    <w:rsid w:val="00420D92"/>
    <w:rsid w:val="004210BA"/>
    <w:rsid w:val="004217F2"/>
    <w:rsid w:val="00422CE3"/>
    <w:rsid w:val="0042406F"/>
    <w:rsid w:val="0042473A"/>
    <w:rsid w:val="00424BCE"/>
    <w:rsid w:val="00424D1E"/>
    <w:rsid w:val="00424E5D"/>
    <w:rsid w:val="00427BA7"/>
    <w:rsid w:val="00430D3E"/>
    <w:rsid w:val="00431756"/>
    <w:rsid w:val="00434A93"/>
    <w:rsid w:val="00435863"/>
    <w:rsid w:val="004379FC"/>
    <w:rsid w:val="00440143"/>
    <w:rsid w:val="004402AD"/>
    <w:rsid w:val="0044076B"/>
    <w:rsid w:val="00440930"/>
    <w:rsid w:val="00441E53"/>
    <w:rsid w:val="004423E6"/>
    <w:rsid w:val="00442536"/>
    <w:rsid w:val="00443E65"/>
    <w:rsid w:val="004445BA"/>
    <w:rsid w:val="00444714"/>
    <w:rsid w:val="00445D0C"/>
    <w:rsid w:val="00446B8A"/>
    <w:rsid w:val="00450C11"/>
    <w:rsid w:val="00451588"/>
    <w:rsid w:val="0045284B"/>
    <w:rsid w:val="00454523"/>
    <w:rsid w:val="00454B6B"/>
    <w:rsid w:val="00454DA0"/>
    <w:rsid w:val="00456307"/>
    <w:rsid w:val="0045720B"/>
    <w:rsid w:val="00457807"/>
    <w:rsid w:val="0046049C"/>
    <w:rsid w:val="00460726"/>
    <w:rsid w:val="00460796"/>
    <w:rsid w:val="00460879"/>
    <w:rsid w:val="00461D7A"/>
    <w:rsid w:val="00462CCA"/>
    <w:rsid w:val="00463805"/>
    <w:rsid w:val="004664D2"/>
    <w:rsid w:val="00467B31"/>
    <w:rsid w:val="00467E2B"/>
    <w:rsid w:val="00470A26"/>
    <w:rsid w:val="004714ED"/>
    <w:rsid w:val="00471FD1"/>
    <w:rsid w:val="004748BE"/>
    <w:rsid w:val="00474967"/>
    <w:rsid w:val="004760B0"/>
    <w:rsid w:val="00476989"/>
    <w:rsid w:val="00476F16"/>
    <w:rsid w:val="00477205"/>
    <w:rsid w:val="00480324"/>
    <w:rsid w:val="0048186D"/>
    <w:rsid w:val="00481E47"/>
    <w:rsid w:val="00484E73"/>
    <w:rsid w:val="00485C2A"/>
    <w:rsid w:val="00487078"/>
    <w:rsid w:val="00490710"/>
    <w:rsid w:val="004921AF"/>
    <w:rsid w:val="0049317E"/>
    <w:rsid w:val="00493181"/>
    <w:rsid w:val="00493931"/>
    <w:rsid w:val="004946E3"/>
    <w:rsid w:val="0049653A"/>
    <w:rsid w:val="00496DCC"/>
    <w:rsid w:val="004A0DCA"/>
    <w:rsid w:val="004A1198"/>
    <w:rsid w:val="004A141A"/>
    <w:rsid w:val="004A18DA"/>
    <w:rsid w:val="004A22DB"/>
    <w:rsid w:val="004A2789"/>
    <w:rsid w:val="004A4BBD"/>
    <w:rsid w:val="004A6048"/>
    <w:rsid w:val="004A6F45"/>
    <w:rsid w:val="004A771A"/>
    <w:rsid w:val="004A7EFB"/>
    <w:rsid w:val="004B058A"/>
    <w:rsid w:val="004B066F"/>
    <w:rsid w:val="004B19BA"/>
    <w:rsid w:val="004B1C4F"/>
    <w:rsid w:val="004B21B4"/>
    <w:rsid w:val="004B238C"/>
    <w:rsid w:val="004B23A2"/>
    <w:rsid w:val="004B4455"/>
    <w:rsid w:val="004B4DB1"/>
    <w:rsid w:val="004B54A7"/>
    <w:rsid w:val="004B57DF"/>
    <w:rsid w:val="004B645C"/>
    <w:rsid w:val="004B699D"/>
    <w:rsid w:val="004B6B85"/>
    <w:rsid w:val="004B6F6E"/>
    <w:rsid w:val="004B6FCB"/>
    <w:rsid w:val="004B7911"/>
    <w:rsid w:val="004C0314"/>
    <w:rsid w:val="004C032D"/>
    <w:rsid w:val="004C0B26"/>
    <w:rsid w:val="004C2CB2"/>
    <w:rsid w:val="004C32F2"/>
    <w:rsid w:val="004C6EA8"/>
    <w:rsid w:val="004C7BC3"/>
    <w:rsid w:val="004D0E52"/>
    <w:rsid w:val="004D173C"/>
    <w:rsid w:val="004D2FBE"/>
    <w:rsid w:val="004D36E0"/>
    <w:rsid w:val="004D3EB7"/>
    <w:rsid w:val="004D49BE"/>
    <w:rsid w:val="004D50CF"/>
    <w:rsid w:val="004D61AD"/>
    <w:rsid w:val="004E18F4"/>
    <w:rsid w:val="004E1A1A"/>
    <w:rsid w:val="004E1E7C"/>
    <w:rsid w:val="004E1EB2"/>
    <w:rsid w:val="004E1EBE"/>
    <w:rsid w:val="004E29E5"/>
    <w:rsid w:val="004E2E2F"/>
    <w:rsid w:val="004E4330"/>
    <w:rsid w:val="004E4444"/>
    <w:rsid w:val="004E492B"/>
    <w:rsid w:val="004E5D86"/>
    <w:rsid w:val="004E5EC6"/>
    <w:rsid w:val="004E5F0C"/>
    <w:rsid w:val="004E63C9"/>
    <w:rsid w:val="004E7522"/>
    <w:rsid w:val="004F06EB"/>
    <w:rsid w:val="004F07E6"/>
    <w:rsid w:val="004F24E5"/>
    <w:rsid w:val="004F283F"/>
    <w:rsid w:val="004F2854"/>
    <w:rsid w:val="004F3005"/>
    <w:rsid w:val="004F38EE"/>
    <w:rsid w:val="004F562C"/>
    <w:rsid w:val="004F5DBA"/>
    <w:rsid w:val="004F6CF6"/>
    <w:rsid w:val="004F7009"/>
    <w:rsid w:val="0050013D"/>
    <w:rsid w:val="005003BB"/>
    <w:rsid w:val="00500BBF"/>
    <w:rsid w:val="00502601"/>
    <w:rsid w:val="0050374E"/>
    <w:rsid w:val="00503C66"/>
    <w:rsid w:val="0050460C"/>
    <w:rsid w:val="00504B35"/>
    <w:rsid w:val="00505947"/>
    <w:rsid w:val="00507097"/>
    <w:rsid w:val="005072E3"/>
    <w:rsid w:val="00510A43"/>
    <w:rsid w:val="00515767"/>
    <w:rsid w:val="00515B0B"/>
    <w:rsid w:val="00515D4B"/>
    <w:rsid w:val="00516316"/>
    <w:rsid w:val="005165B1"/>
    <w:rsid w:val="0051677A"/>
    <w:rsid w:val="00516D54"/>
    <w:rsid w:val="00516F89"/>
    <w:rsid w:val="00517F40"/>
    <w:rsid w:val="005209B0"/>
    <w:rsid w:val="0052177B"/>
    <w:rsid w:val="00522743"/>
    <w:rsid w:val="00523BD1"/>
    <w:rsid w:val="00523CEB"/>
    <w:rsid w:val="00523E7F"/>
    <w:rsid w:val="005250BF"/>
    <w:rsid w:val="00525AE4"/>
    <w:rsid w:val="0052658C"/>
    <w:rsid w:val="00526F45"/>
    <w:rsid w:val="00527D60"/>
    <w:rsid w:val="0053032B"/>
    <w:rsid w:val="005319FA"/>
    <w:rsid w:val="00531A9F"/>
    <w:rsid w:val="00533ACA"/>
    <w:rsid w:val="00533C0D"/>
    <w:rsid w:val="00534EEF"/>
    <w:rsid w:val="00536459"/>
    <w:rsid w:val="00541AC1"/>
    <w:rsid w:val="005425DB"/>
    <w:rsid w:val="00542605"/>
    <w:rsid w:val="00542A17"/>
    <w:rsid w:val="00542B26"/>
    <w:rsid w:val="00542D93"/>
    <w:rsid w:val="005435C7"/>
    <w:rsid w:val="0054366D"/>
    <w:rsid w:val="00543BF2"/>
    <w:rsid w:val="00545483"/>
    <w:rsid w:val="00545BF3"/>
    <w:rsid w:val="00545DCA"/>
    <w:rsid w:val="0054636D"/>
    <w:rsid w:val="00546845"/>
    <w:rsid w:val="00547BF9"/>
    <w:rsid w:val="00547C01"/>
    <w:rsid w:val="00547CD6"/>
    <w:rsid w:val="005501C4"/>
    <w:rsid w:val="005513B4"/>
    <w:rsid w:val="00554230"/>
    <w:rsid w:val="00554A44"/>
    <w:rsid w:val="00556755"/>
    <w:rsid w:val="00557B7E"/>
    <w:rsid w:val="00562019"/>
    <w:rsid w:val="00562667"/>
    <w:rsid w:val="00562C91"/>
    <w:rsid w:val="0056531B"/>
    <w:rsid w:val="00565931"/>
    <w:rsid w:val="005659ED"/>
    <w:rsid w:val="00566A61"/>
    <w:rsid w:val="00566B73"/>
    <w:rsid w:val="005679C7"/>
    <w:rsid w:val="00570001"/>
    <w:rsid w:val="00570935"/>
    <w:rsid w:val="00570F8E"/>
    <w:rsid w:val="00571921"/>
    <w:rsid w:val="00571969"/>
    <w:rsid w:val="00571DCA"/>
    <w:rsid w:val="005748C7"/>
    <w:rsid w:val="00575149"/>
    <w:rsid w:val="005775BA"/>
    <w:rsid w:val="00580EF6"/>
    <w:rsid w:val="00580F32"/>
    <w:rsid w:val="005816F6"/>
    <w:rsid w:val="005818B2"/>
    <w:rsid w:val="00581A6E"/>
    <w:rsid w:val="00583148"/>
    <w:rsid w:val="00583615"/>
    <w:rsid w:val="005864FC"/>
    <w:rsid w:val="005867EA"/>
    <w:rsid w:val="00587F42"/>
    <w:rsid w:val="00590E02"/>
    <w:rsid w:val="00591076"/>
    <w:rsid w:val="00591E1B"/>
    <w:rsid w:val="00591F92"/>
    <w:rsid w:val="00592036"/>
    <w:rsid w:val="00593DC5"/>
    <w:rsid w:val="0059425D"/>
    <w:rsid w:val="005942B9"/>
    <w:rsid w:val="00594330"/>
    <w:rsid w:val="0059445D"/>
    <w:rsid w:val="00595C3F"/>
    <w:rsid w:val="00596B89"/>
    <w:rsid w:val="00597AC2"/>
    <w:rsid w:val="005A0AE5"/>
    <w:rsid w:val="005A1412"/>
    <w:rsid w:val="005A1812"/>
    <w:rsid w:val="005A22AE"/>
    <w:rsid w:val="005A2714"/>
    <w:rsid w:val="005A2F5B"/>
    <w:rsid w:val="005A34D3"/>
    <w:rsid w:val="005A4173"/>
    <w:rsid w:val="005A4778"/>
    <w:rsid w:val="005A4B97"/>
    <w:rsid w:val="005A4C8B"/>
    <w:rsid w:val="005A4E39"/>
    <w:rsid w:val="005A593A"/>
    <w:rsid w:val="005A5EDE"/>
    <w:rsid w:val="005B0102"/>
    <w:rsid w:val="005B1662"/>
    <w:rsid w:val="005B1793"/>
    <w:rsid w:val="005B2EC1"/>
    <w:rsid w:val="005B3481"/>
    <w:rsid w:val="005B3D27"/>
    <w:rsid w:val="005B6620"/>
    <w:rsid w:val="005C06B0"/>
    <w:rsid w:val="005C20A4"/>
    <w:rsid w:val="005C251C"/>
    <w:rsid w:val="005C3497"/>
    <w:rsid w:val="005C350A"/>
    <w:rsid w:val="005C3D82"/>
    <w:rsid w:val="005C3F38"/>
    <w:rsid w:val="005C592D"/>
    <w:rsid w:val="005C5A35"/>
    <w:rsid w:val="005C6B8B"/>
    <w:rsid w:val="005C6D6C"/>
    <w:rsid w:val="005C7101"/>
    <w:rsid w:val="005C75C0"/>
    <w:rsid w:val="005D05D5"/>
    <w:rsid w:val="005D0FBC"/>
    <w:rsid w:val="005D13F2"/>
    <w:rsid w:val="005D1A42"/>
    <w:rsid w:val="005D2053"/>
    <w:rsid w:val="005D2092"/>
    <w:rsid w:val="005D3EAA"/>
    <w:rsid w:val="005D3F7A"/>
    <w:rsid w:val="005D4173"/>
    <w:rsid w:val="005D49FE"/>
    <w:rsid w:val="005D54D0"/>
    <w:rsid w:val="005D5D58"/>
    <w:rsid w:val="005D5D94"/>
    <w:rsid w:val="005D6669"/>
    <w:rsid w:val="005D6B22"/>
    <w:rsid w:val="005D6E44"/>
    <w:rsid w:val="005D6E4C"/>
    <w:rsid w:val="005D7114"/>
    <w:rsid w:val="005E0052"/>
    <w:rsid w:val="005E02E7"/>
    <w:rsid w:val="005E0A70"/>
    <w:rsid w:val="005E164F"/>
    <w:rsid w:val="005E1CAC"/>
    <w:rsid w:val="005E22C2"/>
    <w:rsid w:val="005E3569"/>
    <w:rsid w:val="005E38DE"/>
    <w:rsid w:val="005E422C"/>
    <w:rsid w:val="005E490F"/>
    <w:rsid w:val="005E5167"/>
    <w:rsid w:val="005E57F1"/>
    <w:rsid w:val="005E6224"/>
    <w:rsid w:val="005E66ED"/>
    <w:rsid w:val="005E71AF"/>
    <w:rsid w:val="005F0E53"/>
    <w:rsid w:val="005F1B95"/>
    <w:rsid w:val="005F2649"/>
    <w:rsid w:val="005F3916"/>
    <w:rsid w:val="005F526B"/>
    <w:rsid w:val="005F6DFB"/>
    <w:rsid w:val="005F798A"/>
    <w:rsid w:val="00600DCA"/>
    <w:rsid w:val="00601440"/>
    <w:rsid w:val="00602336"/>
    <w:rsid w:val="00602BC9"/>
    <w:rsid w:val="00602C22"/>
    <w:rsid w:val="006035E9"/>
    <w:rsid w:val="00603D74"/>
    <w:rsid w:val="006076D5"/>
    <w:rsid w:val="00607B48"/>
    <w:rsid w:val="00607F95"/>
    <w:rsid w:val="00612171"/>
    <w:rsid w:val="00612A29"/>
    <w:rsid w:val="00612DD7"/>
    <w:rsid w:val="00613222"/>
    <w:rsid w:val="0061572E"/>
    <w:rsid w:val="00616752"/>
    <w:rsid w:val="006168C5"/>
    <w:rsid w:val="00616EE6"/>
    <w:rsid w:val="00617285"/>
    <w:rsid w:val="00617AC4"/>
    <w:rsid w:val="00617DA0"/>
    <w:rsid w:val="0062007E"/>
    <w:rsid w:val="0062117C"/>
    <w:rsid w:val="00621348"/>
    <w:rsid w:val="00622213"/>
    <w:rsid w:val="006230DC"/>
    <w:rsid w:val="00623530"/>
    <w:rsid w:val="00623A30"/>
    <w:rsid w:val="00624143"/>
    <w:rsid w:val="00625FDD"/>
    <w:rsid w:val="006264D2"/>
    <w:rsid w:val="0063044F"/>
    <w:rsid w:val="00633049"/>
    <w:rsid w:val="0063393B"/>
    <w:rsid w:val="0063509C"/>
    <w:rsid w:val="00635EB5"/>
    <w:rsid w:val="00635FF3"/>
    <w:rsid w:val="006361E7"/>
    <w:rsid w:val="006363A2"/>
    <w:rsid w:val="00636800"/>
    <w:rsid w:val="006369B3"/>
    <w:rsid w:val="006415CC"/>
    <w:rsid w:val="006416D6"/>
    <w:rsid w:val="00641AF7"/>
    <w:rsid w:val="00641D82"/>
    <w:rsid w:val="006427B4"/>
    <w:rsid w:val="00642D02"/>
    <w:rsid w:val="0064329F"/>
    <w:rsid w:val="006434A5"/>
    <w:rsid w:val="006443E8"/>
    <w:rsid w:val="00644A9E"/>
    <w:rsid w:val="006451FE"/>
    <w:rsid w:val="0064576E"/>
    <w:rsid w:val="0064585F"/>
    <w:rsid w:val="006459DA"/>
    <w:rsid w:val="0064756F"/>
    <w:rsid w:val="00650308"/>
    <w:rsid w:val="00651992"/>
    <w:rsid w:val="00653457"/>
    <w:rsid w:val="00653C33"/>
    <w:rsid w:val="00653CD0"/>
    <w:rsid w:val="00653CFF"/>
    <w:rsid w:val="006541DE"/>
    <w:rsid w:val="0065537E"/>
    <w:rsid w:val="00657814"/>
    <w:rsid w:val="00660F3B"/>
    <w:rsid w:val="0066349B"/>
    <w:rsid w:val="00663C55"/>
    <w:rsid w:val="0066401C"/>
    <w:rsid w:val="00664984"/>
    <w:rsid w:val="00664DB2"/>
    <w:rsid w:val="006673B7"/>
    <w:rsid w:val="006703F9"/>
    <w:rsid w:val="00670BE1"/>
    <w:rsid w:val="0067164A"/>
    <w:rsid w:val="006717D0"/>
    <w:rsid w:val="00671E16"/>
    <w:rsid w:val="00672403"/>
    <w:rsid w:val="00672764"/>
    <w:rsid w:val="00672D69"/>
    <w:rsid w:val="00673D00"/>
    <w:rsid w:val="0067459D"/>
    <w:rsid w:val="0067478F"/>
    <w:rsid w:val="00674CD7"/>
    <w:rsid w:val="00674DAC"/>
    <w:rsid w:val="006755B8"/>
    <w:rsid w:val="00676044"/>
    <w:rsid w:val="006761B0"/>
    <w:rsid w:val="006772C1"/>
    <w:rsid w:val="0067736B"/>
    <w:rsid w:val="0067786D"/>
    <w:rsid w:val="00680280"/>
    <w:rsid w:val="006811BF"/>
    <w:rsid w:val="00681C5A"/>
    <w:rsid w:val="006841B3"/>
    <w:rsid w:val="00684FB3"/>
    <w:rsid w:val="00685D3A"/>
    <w:rsid w:val="006862B6"/>
    <w:rsid w:val="006876D2"/>
    <w:rsid w:val="00690513"/>
    <w:rsid w:val="00690601"/>
    <w:rsid w:val="0069089D"/>
    <w:rsid w:val="00691055"/>
    <w:rsid w:val="006912F2"/>
    <w:rsid w:val="00691ECF"/>
    <w:rsid w:val="0069239C"/>
    <w:rsid w:val="006949FD"/>
    <w:rsid w:val="00694E68"/>
    <w:rsid w:val="00697D47"/>
    <w:rsid w:val="006A120C"/>
    <w:rsid w:val="006A17AE"/>
    <w:rsid w:val="006A1A8E"/>
    <w:rsid w:val="006A2812"/>
    <w:rsid w:val="006A3913"/>
    <w:rsid w:val="006A42D4"/>
    <w:rsid w:val="006A46D8"/>
    <w:rsid w:val="006A50E4"/>
    <w:rsid w:val="006A5447"/>
    <w:rsid w:val="006A63D7"/>
    <w:rsid w:val="006A6C65"/>
    <w:rsid w:val="006B0A83"/>
    <w:rsid w:val="006B0CEE"/>
    <w:rsid w:val="006B22E3"/>
    <w:rsid w:val="006B3268"/>
    <w:rsid w:val="006B3B7D"/>
    <w:rsid w:val="006B4C0A"/>
    <w:rsid w:val="006B5C0E"/>
    <w:rsid w:val="006B6623"/>
    <w:rsid w:val="006C0F0B"/>
    <w:rsid w:val="006C1367"/>
    <w:rsid w:val="006C1662"/>
    <w:rsid w:val="006C1CBD"/>
    <w:rsid w:val="006C3423"/>
    <w:rsid w:val="006C3E52"/>
    <w:rsid w:val="006C4259"/>
    <w:rsid w:val="006C50B0"/>
    <w:rsid w:val="006C5988"/>
    <w:rsid w:val="006C7469"/>
    <w:rsid w:val="006D00A5"/>
    <w:rsid w:val="006D08C2"/>
    <w:rsid w:val="006D0CA3"/>
    <w:rsid w:val="006D0F00"/>
    <w:rsid w:val="006D1E90"/>
    <w:rsid w:val="006D2C25"/>
    <w:rsid w:val="006D3528"/>
    <w:rsid w:val="006E0CCB"/>
    <w:rsid w:val="006E10D3"/>
    <w:rsid w:val="006E1466"/>
    <w:rsid w:val="006E2029"/>
    <w:rsid w:val="006E3451"/>
    <w:rsid w:val="006E48E8"/>
    <w:rsid w:val="006E5F8C"/>
    <w:rsid w:val="006E6D70"/>
    <w:rsid w:val="006E768F"/>
    <w:rsid w:val="006F1765"/>
    <w:rsid w:val="006F1B17"/>
    <w:rsid w:val="006F21AE"/>
    <w:rsid w:val="006F2E18"/>
    <w:rsid w:val="006F32E6"/>
    <w:rsid w:val="006F4BDB"/>
    <w:rsid w:val="006F682F"/>
    <w:rsid w:val="006F6F33"/>
    <w:rsid w:val="0070082B"/>
    <w:rsid w:val="00700C84"/>
    <w:rsid w:val="0070105B"/>
    <w:rsid w:val="00701DEB"/>
    <w:rsid w:val="00702728"/>
    <w:rsid w:val="007028CC"/>
    <w:rsid w:val="00703629"/>
    <w:rsid w:val="0070376E"/>
    <w:rsid w:val="00703E38"/>
    <w:rsid w:val="00704850"/>
    <w:rsid w:val="007049F6"/>
    <w:rsid w:val="00704B06"/>
    <w:rsid w:val="00704B61"/>
    <w:rsid w:val="00704C3F"/>
    <w:rsid w:val="007050CF"/>
    <w:rsid w:val="0070621E"/>
    <w:rsid w:val="007071DE"/>
    <w:rsid w:val="00707653"/>
    <w:rsid w:val="00710A9C"/>
    <w:rsid w:val="00710E8C"/>
    <w:rsid w:val="00711BD9"/>
    <w:rsid w:val="0071260C"/>
    <w:rsid w:val="00712E21"/>
    <w:rsid w:val="00712F28"/>
    <w:rsid w:val="00714517"/>
    <w:rsid w:val="0071517A"/>
    <w:rsid w:val="007155FE"/>
    <w:rsid w:val="00715616"/>
    <w:rsid w:val="007160FA"/>
    <w:rsid w:val="007162C4"/>
    <w:rsid w:val="00717AD8"/>
    <w:rsid w:val="00717F41"/>
    <w:rsid w:val="00722BC9"/>
    <w:rsid w:val="00723287"/>
    <w:rsid w:val="00724660"/>
    <w:rsid w:val="00726CFA"/>
    <w:rsid w:val="00727083"/>
    <w:rsid w:val="00727BEE"/>
    <w:rsid w:val="00730FB8"/>
    <w:rsid w:val="0073230B"/>
    <w:rsid w:val="00732B1B"/>
    <w:rsid w:val="00733480"/>
    <w:rsid w:val="007335A4"/>
    <w:rsid w:val="007341D0"/>
    <w:rsid w:val="00737CA3"/>
    <w:rsid w:val="0074091D"/>
    <w:rsid w:val="00740D1B"/>
    <w:rsid w:val="00742A0D"/>
    <w:rsid w:val="00744B9E"/>
    <w:rsid w:val="00744D6E"/>
    <w:rsid w:val="00745DBC"/>
    <w:rsid w:val="00746B3F"/>
    <w:rsid w:val="00750275"/>
    <w:rsid w:val="00750B9D"/>
    <w:rsid w:val="007522D1"/>
    <w:rsid w:val="0075268A"/>
    <w:rsid w:val="00752E17"/>
    <w:rsid w:val="007533F0"/>
    <w:rsid w:val="0075372D"/>
    <w:rsid w:val="00756A38"/>
    <w:rsid w:val="0076006F"/>
    <w:rsid w:val="0076072E"/>
    <w:rsid w:val="007612C4"/>
    <w:rsid w:val="00761BC8"/>
    <w:rsid w:val="00762B53"/>
    <w:rsid w:val="00762D05"/>
    <w:rsid w:val="007642BA"/>
    <w:rsid w:val="00764464"/>
    <w:rsid w:val="0076472B"/>
    <w:rsid w:val="007656E9"/>
    <w:rsid w:val="007659BA"/>
    <w:rsid w:val="00765F0F"/>
    <w:rsid w:val="0076600F"/>
    <w:rsid w:val="00766D51"/>
    <w:rsid w:val="007679AB"/>
    <w:rsid w:val="00770672"/>
    <w:rsid w:val="0077073E"/>
    <w:rsid w:val="00771AC9"/>
    <w:rsid w:val="00772155"/>
    <w:rsid w:val="00776142"/>
    <w:rsid w:val="00780022"/>
    <w:rsid w:val="00780477"/>
    <w:rsid w:val="00783CC9"/>
    <w:rsid w:val="007842AB"/>
    <w:rsid w:val="007848B4"/>
    <w:rsid w:val="00784E33"/>
    <w:rsid w:val="00785F5A"/>
    <w:rsid w:val="007867B3"/>
    <w:rsid w:val="0078769C"/>
    <w:rsid w:val="00787F82"/>
    <w:rsid w:val="0079045D"/>
    <w:rsid w:val="00791D68"/>
    <w:rsid w:val="00791DD3"/>
    <w:rsid w:val="00791DDA"/>
    <w:rsid w:val="007930AB"/>
    <w:rsid w:val="007931C6"/>
    <w:rsid w:val="00794FFF"/>
    <w:rsid w:val="007968B7"/>
    <w:rsid w:val="007973F6"/>
    <w:rsid w:val="00797404"/>
    <w:rsid w:val="007A02F4"/>
    <w:rsid w:val="007A0401"/>
    <w:rsid w:val="007A06A5"/>
    <w:rsid w:val="007A0A51"/>
    <w:rsid w:val="007A158D"/>
    <w:rsid w:val="007A2828"/>
    <w:rsid w:val="007A354C"/>
    <w:rsid w:val="007A40C1"/>
    <w:rsid w:val="007A446F"/>
    <w:rsid w:val="007A4C80"/>
    <w:rsid w:val="007A4FCA"/>
    <w:rsid w:val="007A69D6"/>
    <w:rsid w:val="007A6A3B"/>
    <w:rsid w:val="007A6DAE"/>
    <w:rsid w:val="007A7590"/>
    <w:rsid w:val="007B1705"/>
    <w:rsid w:val="007B1F5D"/>
    <w:rsid w:val="007B4676"/>
    <w:rsid w:val="007B49D5"/>
    <w:rsid w:val="007B4ECB"/>
    <w:rsid w:val="007B5215"/>
    <w:rsid w:val="007B62DE"/>
    <w:rsid w:val="007C1DAC"/>
    <w:rsid w:val="007C4601"/>
    <w:rsid w:val="007C6A9B"/>
    <w:rsid w:val="007C6DC6"/>
    <w:rsid w:val="007C7A8F"/>
    <w:rsid w:val="007D0354"/>
    <w:rsid w:val="007D0CD1"/>
    <w:rsid w:val="007D0CDD"/>
    <w:rsid w:val="007D40D0"/>
    <w:rsid w:val="007D41EC"/>
    <w:rsid w:val="007D42E0"/>
    <w:rsid w:val="007D42FB"/>
    <w:rsid w:val="007D5C60"/>
    <w:rsid w:val="007D6126"/>
    <w:rsid w:val="007D6F33"/>
    <w:rsid w:val="007D7188"/>
    <w:rsid w:val="007D7C49"/>
    <w:rsid w:val="007E0614"/>
    <w:rsid w:val="007E13E6"/>
    <w:rsid w:val="007E39F6"/>
    <w:rsid w:val="007E47B9"/>
    <w:rsid w:val="007E4814"/>
    <w:rsid w:val="007E66A5"/>
    <w:rsid w:val="007E70F0"/>
    <w:rsid w:val="007E7260"/>
    <w:rsid w:val="007E763F"/>
    <w:rsid w:val="007F120E"/>
    <w:rsid w:val="007F1AB6"/>
    <w:rsid w:val="007F1E64"/>
    <w:rsid w:val="007F2220"/>
    <w:rsid w:val="007F354F"/>
    <w:rsid w:val="007F376C"/>
    <w:rsid w:val="007F54E0"/>
    <w:rsid w:val="007F6405"/>
    <w:rsid w:val="00800770"/>
    <w:rsid w:val="008010A2"/>
    <w:rsid w:val="00801577"/>
    <w:rsid w:val="008026D2"/>
    <w:rsid w:val="008051B0"/>
    <w:rsid w:val="0080693B"/>
    <w:rsid w:val="00807CB1"/>
    <w:rsid w:val="00810883"/>
    <w:rsid w:val="00810CF5"/>
    <w:rsid w:val="0081134C"/>
    <w:rsid w:val="00811975"/>
    <w:rsid w:val="00813B77"/>
    <w:rsid w:val="00814172"/>
    <w:rsid w:val="00814A08"/>
    <w:rsid w:val="0081701A"/>
    <w:rsid w:val="0081745A"/>
    <w:rsid w:val="008176F0"/>
    <w:rsid w:val="00820C1D"/>
    <w:rsid w:val="00820DFC"/>
    <w:rsid w:val="008227F7"/>
    <w:rsid w:val="00823318"/>
    <w:rsid w:val="00823C70"/>
    <w:rsid w:val="00823D73"/>
    <w:rsid w:val="00824525"/>
    <w:rsid w:val="008249A4"/>
    <w:rsid w:val="00824A4D"/>
    <w:rsid w:val="00825D61"/>
    <w:rsid w:val="0082622F"/>
    <w:rsid w:val="00826F47"/>
    <w:rsid w:val="00827D46"/>
    <w:rsid w:val="008311FE"/>
    <w:rsid w:val="00832168"/>
    <w:rsid w:val="00833146"/>
    <w:rsid w:val="0083465D"/>
    <w:rsid w:val="008354EB"/>
    <w:rsid w:val="0083754A"/>
    <w:rsid w:val="00837F4F"/>
    <w:rsid w:val="008420D5"/>
    <w:rsid w:val="00842675"/>
    <w:rsid w:val="00843B3D"/>
    <w:rsid w:val="00843FD7"/>
    <w:rsid w:val="008447B4"/>
    <w:rsid w:val="008472F3"/>
    <w:rsid w:val="00850EE3"/>
    <w:rsid w:val="0085228D"/>
    <w:rsid w:val="00852B00"/>
    <w:rsid w:val="00852F0D"/>
    <w:rsid w:val="00853A79"/>
    <w:rsid w:val="00853C3F"/>
    <w:rsid w:val="00855DE6"/>
    <w:rsid w:val="008560F6"/>
    <w:rsid w:val="00856571"/>
    <w:rsid w:val="00856E65"/>
    <w:rsid w:val="00857465"/>
    <w:rsid w:val="0085778C"/>
    <w:rsid w:val="00857A69"/>
    <w:rsid w:val="0086063B"/>
    <w:rsid w:val="0086077A"/>
    <w:rsid w:val="00860AE1"/>
    <w:rsid w:val="00861C63"/>
    <w:rsid w:val="008622DA"/>
    <w:rsid w:val="00862821"/>
    <w:rsid w:val="00862BB7"/>
    <w:rsid w:val="008700A6"/>
    <w:rsid w:val="008703D5"/>
    <w:rsid w:val="008712B7"/>
    <w:rsid w:val="008723CD"/>
    <w:rsid w:val="008723E9"/>
    <w:rsid w:val="008733D8"/>
    <w:rsid w:val="00873AA7"/>
    <w:rsid w:val="00874015"/>
    <w:rsid w:val="008742FC"/>
    <w:rsid w:val="008744EF"/>
    <w:rsid w:val="00874610"/>
    <w:rsid w:val="0087472A"/>
    <w:rsid w:val="008757EC"/>
    <w:rsid w:val="008758B8"/>
    <w:rsid w:val="00876622"/>
    <w:rsid w:val="0087692D"/>
    <w:rsid w:val="00876A55"/>
    <w:rsid w:val="00877B0B"/>
    <w:rsid w:val="0088032D"/>
    <w:rsid w:val="0088276A"/>
    <w:rsid w:val="00882BE7"/>
    <w:rsid w:val="00882D13"/>
    <w:rsid w:val="00883258"/>
    <w:rsid w:val="00883A45"/>
    <w:rsid w:val="008845C2"/>
    <w:rsid w:val="0088551F"/>
    <w:rsid w:val="00885DAB"/>
    <w:rsid w:val="008943B7"/>
    <w:rsid w:val="00894CB9"/>
    <w:rsid w:val="00895400"/>
    <w:rsid w:val="00895EA9"/>
    <w:rsid w:val="008967BF"/>
    <w:rsid w:val="0089778F"/>
    <w:rsid w:val="00897A6C"/>
    <w:rsid w:val="00897C63"/>
    <w:rsid w:val="008A04F7"/>
    <w:rsid w:val="008A0D7E"/>
    <w:rsid w:val="008A12A6"/>
    <w:rsid w:val="008A1ACA"/>
    <w:rsid w:val="008A2294"/>
    <w:rsid w:val="008A2356"/>
    <w:rsid w:val="008A3377"/>
    <w:rsid w:val="008A39A9"/>
    <w:rsid w:val="008A40D4"/>
    <w:rsid w:val="008A694F"/>
    <w:rsid w:val="008A7543"/>
    <w:rsid w:val="008B1829"/>
    <w:rsid w:val="008B3893"/>
    <w:rsid w:val="008B392F"/>
    <w:rsid w:val="008B3A01"/>
    <w:rsid w:val="008B3AFE"/>
    <w:rsid w:val="008B51D2"/>
    <w:rsid w:val="008B54E5"/>
    <w:rsid w:val="008B64E3"/>
    <w:rsid w:val="008B6E72"/>
    <w:rsid w:val="008C0291"/>
    <w:rsid w:val="008C184F"/>
    <w:rsid w:val="008C19F7"/>
    <w:rsid w:val="008C2D8D"/>
    <w:rsid w:val="008C30BA"/>
    <w:rsid w:val="008C3EE6"/>
    <w:rsid w:val="008C4FE5"/>
    <w:rsid w:val="008C58E3"/>
    <w:rsid w:val="008C6BD9"/>
    <w:rsid w:val="008D0063"/>
    <w:rsid w:val="008D0738"/>
    <w:rsid w:val="008D10DB"/>
    <w:rsid w:val="008D25AE"/>
    <w:rsid w:val="008D2641"/>
    <w:rsid w:val="008D2F3D"/>
    <w:rsid w:val="008D4DD1"/>
    <w:rsid w:val="008D52D5"/>
    <w:rsid w:val="008D65EF"/>
    <w:rsid w:val="008D71C7"/>
    <w:rsid w:val="008E079F"/>
    <w:rsid w:val="008E0A48"/>
    <w:rsid w:val="008E136D"/>
    <w:rsid w:val="008E1FBA"/>
    <w:rsid w:val="008E342E"/>
    <w:rsid w:val="008E45C9"/>
    <w:rsid w:val="008E4ECE"/>
    <w:rsid w:val="008E5321"/>
    <w:rsid w:val="008E53AC"/>
    <w:rsid w:val="008E54B0"/>
    <w:rsid w:val="008E6AF4"/>
    <w:rsid w:val="008E76E2"/>
    <w:rsid w:val="008E7C4E"/>
    <w:rsid w:val="008E7F82"/>
    <w:rsid w:val="008F0B8B"/>
    <w:rsid w:val="008F0F32"/>
    <w:rsid w:val="008F11C5"/>
    <w:rsid w:val="008F1B83"/>
    <w:rsid w:val="008F200C"/>
    <w:rsid w:val="008F3D7E"/>
    <w:rsid w:val="008F4B66"/>
    <w:rsid w:val="008F5209"/>
    <w:rsid w:val="008F5BC5"/>
    <w:rsid w:val="008F5C43"/>
    <w:rsid w:val="008F6899"/>
    <w:rsid w:val="008F6A61"/>
    <w:rsid w:val="008F7170"/>
    <w:rsid w:val="008F756A"/>
    <w:rsid w:val="008F7632"/>
    <w:rsid w:val="008F7B98"/>
    <w:rsid w:val="008F7D9E"/>
    <w:rsid w:val="009000A3"/>
    <w:rsid w:val="00900102"/>
    <w:rsid w:val="0090018F"/>
    <w:rsid w:val="00901A0E"/>
    <w:rsid w:val="00901AEE"/>
    <w:rsid w:val="00901D84"/>
    <w:rsid w:val="00902943"/>
    <w:rsid w:val="009041D3"/>
    <w:rsid w:val="00904E10"/>
    <w:rsid w:val="009057B8"/>
    <w:rsid w:val="009063D6"/>
    <w:rsid w:val="009069C4"/>
    <w:rsid w:val="009076DD"/>
    <w:rsid w:val="009078E7"/>
    <w:rsid w:val="00910348"/>
    <w:rsid w:val="00910827"/>
    <w:rsid w:val="00910CD0"/>
    <w:rsid w:val="00911B9F"/>
    <w:rsid w:val="00913699"/>
    <w:rsid w:val="00913F1C"/>
    <w:rsid w:val="00915039"/>
    <w:rsid w:val="00915071"/>
    <w:rsid w:val="009158A9"/>
    <w:rsid w:val="00915FE4"/>
    <w:rsid w:val="00916445"/>
    <w:rsid w:val="009166C0"/>
    <w:rsid w:val="00917F7E"/>
    <w:rsid w:val="00920A79"/>
    <w:rsid w:val="00923171"/>
    <w:rsid w:val="00923481"/>
    <w:rsid w:val="0092396F"/>
    <w:rsid w:val="00923B3A"/>
    <w:rsid w:val="009244F1"/>
    <w:rsid w:val="009252AF"/>
    <w:rsid w:val="00925411"/>
    <w:rsid w:val="00926330"/>
    <w:rsid w:val="00926D78"/>
    <w:rsid w:val="009301E2"/>
    <w:rsid w:val="009320E8"/>
    <w:rsid w:val="009323BE"/>
    <w:rsid w:val="00932402"/>
    <w:rsid w:val="009337BB"/>
    <w:rsid w:val="00934AD1"/>
    <w:rsid w:val="00934C1A"/>
    <w:rsid w:val="00934C81"/>
    <w:rsid w:val="00935387"/>
    <w:rsid w:val="00935824"/>
    <w:rsid w:val="00937D42"/>
    <w:rsid w:val="0094087D"/>
    <w:rsid w:val="00941B69"/>
    <w:rsid w:val="00941FBD"/>
    <w:rsid w:val="009432E4"/>
    <w:rsid w:val="00943FA7"/>
    <w:rsid w:val="00944640"/>
    <w:rsid w:val="00945226"/>
    <w:rsid w:val="009456BD"/>
    <w:rsid w:val="00946D8A"/>
    <w:rsid w:val="00950972"/>
    <w:rsid w:val="00950D50"/>
    <w:rsid w:val="009512EB"/>
    <w:rsid w:val="00951623"/>
    <w:rsid w:val="009518A8"/>
    <w:rsid w:val="00951CF4"/>
    <w:rsid w:val="009535ED"/>
    <w:rsid w:val="0095383A"/>
    <w:rsid w:val="00953965"/>
    <w:rsid w:val="00953A82"/>
    <w:rsid w:val="00954533"/>
    <w:rsid w:val="009549CE"/>
    <w:rsid w:val="00955234"/>
    <w:rsid w:val="00955C24"/>
    <w:rsid w:val="00955F88"/>
    <w:rsid w:val="00956D52"/>
    <w:rsid w:val="00957225"/>
    <w:rsid w:val="009572DA"/>
    <w:rsid w:val="00957309"/>
    <w:rsid w:val="009574C7"/>
    <w:rsid w:val="00961662"/>
    <w:rsid w:val="009628AA"/>
    <w:rsid w:val="00963982"/>
    <w:rsid w:val="00963D95"/>
    <w:rsid w:val="0096482A"/>
    <w:rsid w:val="00964948"/>
    <w:rsid w:val="009658FB"/>
    <w:rsid w:val="009666ED"/>
    <w:rsid w:val="00967784"/>
    <w:rsid w:val="00967B42"/>
    <w:rsid w:val="00970534"/>
    <w:rsid w:val="0097081F"/>
    <w:rsid w:val="009711A6"/>
    <w:rsid w:val="009718EA"/>
    <w:rsid w:val="00974871"/>
    <w:rsid w:val="00974A6D"/>
    <w:rsid w:val="00975F3B"/>
    <w:rsid w:val="009769DB"/>
    <w:rsid w:val="009776B4"/>
    <w:rsid w:val="00980B68"/>
    <w:rsid w:val="00980E30"/>
    <w:rsid w:val="0098189F"/>
    <w:rsid w:val="009823D7"/>
    <w:rsid w:val="00983961"/>
    <w:rsid w:val="0098414A"/>
    <w:rsid w:val="009861DE"/>
    <w:rsid w:val="00986F19"/>
    <w:rsid w:val="00987786"/>
    <w:rsid w:val="009918E3"/>
    <w:rsid w:val="00991F07"/>
    <w:rsid w:val="009921F8"/>
    <w:rsid w:val="0099246D"/>
    <w:rsid w:val="00992FA5"/>
    <w:rsid w:val="0099317C"/>
    <w:rsid w:val="009939DA"/>
    <w:rsid w:val="00995C11"/>
    <w:rsid w:val="00997C32"/>
    <w:rsid w:val="00997F1F"/>
    <w:rsid w:val="009A06A8"/>
    <w:rsid w:val="009A0788"/>
    <w:rsid w:val="009A117A"/>
    <w:rsid w:val="009A3067"/>
    <w:rsid w:val="009A4073"/>
    <w:rsid w:val="009A4278"/>
    <w:rsid w:val="009A56D7"/>
    <w:rsid w:val="009A5BC4"/>
    <w:rsid w:val="009A756E"/>
    <w:rsid w:val="009A7B88"/>
    <w:rsid w:val="009B1C47"/>
    <w:rsid w:val="009B278E"/>
    <w:rsid w:val="009B570D"/>
    <w:rsid w:val="009B5797"/>
    <w:rsid w:val="009B5A24"/>
    <w:rsid w:val="009B6D12"/>
    <w:rsid w:val="009B7737"/>
    <w:rsid w:val="009C01E8"/>
    <w:rsid w:val="009C0464"/>
    <w:rsid w:val="009C0481"/>
    <w:rsid w:val="009C053E"/>
    <w:rsid w:val="009C0990"/>
    <w:rsid w:val="009C0A99"/>
    <w:rsid w:val="009C17E6"/>
    <w:rsid w:val="009C1A8F"/>
    <w:rsid w:val="009C1D09"/>
    <w:rsid w:val="009C23EA"/>
    <w:rsid w:val="009C2896"/>
    <w:rsid w:val="009C2CD5"/>
    <w:rsid w:val="009C4497"/>
    <w:rsid w:val="009C457B"/>
    <w:rsid w:val="009C5473"/>
    <w:rsid w:val="009C63FE"/>
    <w:rsid w:val="009C666F"/>
    <w:rsid w:val="009C7496"/>
    <w:rsid w:val="009C7F5D"/>
    <w:rsid w:val="009D0BCF"/>
    <w:rsid w:val="009D11F5"/>
    <w:rsid w:val="009D1C75"/>
    <w:rsid w:val="009D26CA"/>
    <w:rsid w:val="009D2DD9"/>
    <w:rsid w:val="009D2F05"/>
    <w:rsid w:val="009D2F99"/>
    <w:rsid w:val="009D3B3F"/>
    <w:rsid w:val="009D4318"/>
    <w:rsid w:val="009D43AE"/>
    <w:rsid w:val="009D43EC"/>
    <w:rsid w:val="009D4475"/>
    <w:rsid w:val="009D4A18"/>
    <w:rsid w:val="009D52CE"/>
    <w:rsid w:val="009D5318"/>
    <w:rsid w:val="009D5E92"/>
    <w:rsid w:val="009D631D"/>
    <w:rsid w:val="009D6BBB"/>
    <w:rsid w:val="009D7AFE"/>
    <w:rsid w:val="009E063D"/>
    <w:rsid w:val="009E23EC"/>
    <w:rsid w:val="009E2627"/>
    <w:rsid w:val="009E2C87"/>
    <w:rsid w:val="009E2F5E"/>
    <w:rsid w:val="009E3222"/>
    <w:rsid w:val="009E396F"/>
    <w:rsid w:val="009E3A18"/>
    <w:rsid w:val="009E4838"/>
    <w:rsid w:val="009E4B34"/>
    <w:rsid w:val="009E6A44"/>
    <w:rsid w:val="009F0172"/>
    <w:rsid w:val="009F1DF0"/>
    <w:rsid w:val="009F1F9C"/>
    <w:rsid w:val="009F2943"/>
    <w:rsid w:val="009F4C6B"/>
    <w:rsid w:val="009F5D54"/>
    <w:rsid w:val="009F655D"/>
    <w:rsid w:val="009F6B37"/>
    <w:rsid w:val="009F6F55"/>
    <w:rsid w:val="009F7CBD"/>
    <w:rsid w:val="00A00241"/>
    <w:rsid w:val="00A00547"/>
    <w:rsid w:val="00A006AD"/>
    <w:rsid w:val="00A018BE"/>
    <w:rsid w:val="00A02524"/>
    <w:rsid w:val="00A02863"/>
    <w:rsid w:val="00A02F9A"/>
    <w:rsid w:val="00A04067"/>
    <w:rsid w:val="00A044D1"/>
    <w:rsid w:val="00A0493B"/>
    <w:rsid w:val="00A0499F"/>
    <w:rsid w:val="00A04A35"/>
    <w:rsid w:val="00A0619B"/>
    <w:rsid w:val="00A1032C"/>
    <w:rsid w:val="00A108DB"/>
    <w:rsid w:val="00A10DC3"/>
    <w:rsid w:val="00A118BF"/>
    <w:rsid w:val="00A1341C"/>
    <w:rsid w:val="00A15325"/>
    <w:rsid w:val="00A15E6E"/>
    <w:rsid w:val="00A1656D"/>
    <w:rsid w:val="00A1726D"/>
    <w:rsid w:val="00A2018B"/>
    <w:rsid w:val="00A21319"/>
    <w:rsid w:val="00A240E1"/>
    <w:rsid w:val="00A25462"/>
    <w:rsid w:val="00A2570A"/>
    <w:rsid w:val="00A25BB6"/>
    <w:rsid w:val="00A25F5C"/>
    <w:rsid w:val="00A2618D"/>
    <w:rsid w:val="00A26B89"/>
    <w:rsid w:val="00A27C49"/>
    <w:rsid w:val="00A27C83"/>
    <w:rsid w:val="00A27D9E"/>
    <w:rsid w:val="00A27DEF"/>
    <w:rsid w:val="00A30BBC"/>
    <w:rsid w:val="00A30E6A"/>
    <w:rsid w:val="00A31440"/>
    <w:rsid w:val="00A32380"/>
    <w:rsid w:val="00A32AFE"/>
    <w:rsid w:val="00A32E7A"/>
    <w:rsid w:val="00A3318B"/>
    <w:rsid w:val="00A34766"/>
    <w:rsid w:val="00A35293"/>
    <w:rsid w:val="00A35534"/>
    <w:rsid w:val="00A35AD1"/>
    <w:rsid w:val="00A35D84"/>
    <w:rsid w:val="00A365B5"/>
    <w:rsid w:val="00A37405"/>
    <w:rsid w:val="00A377FF"/>
    <w:rsid w:val="00A41B42"/>
    <w:rsid w:val="00A42FA7"/>
    <w:rsid w:val="00A4335B"/>
    <w:rsid w:val="00A43987"/>
    <w:rsid w:val="00A43DCD"/>
    <w:rsid w:val="00A45B21"/>
    <w:rsid w:val="00A47AE3"/>
    <w:rsid w:val="00A50AF2"/>
    <w:rsid w:val="00A52E05"/>
    <w:rsid w:val="00A5325A"/>
    <w:rsid w:val="00A546D8"/>
    <w:rsid w:val="00A54EED"/>
    <w:rsid w:val="00A551EA"/>
    <w:rsid w:val="00A55362"/>
    <w:rsid w:val="00A55EC6"/>
    <w:rsid w:val="00A56247"/>
    <w:rsid w:val="00A56ED0"/>
    <w:rsid w:val="00A57300"/>
    <w:rsid w:val="00A608B1"/>
    <w:rsid w:val="00A6385F"/>
    <w:rsid w:val="00A639D4"/>
    <w:rsid w:val="00A63A58"/>
    <w:rsid w:val="00A63F96"/>
    <w:rsid w:val="00A64017"/>
    <w:rsid w:val="00A64C6A"/>
    <w:rsid w:val="00A655A3"/>
    <w:rsid w:val="00A6691D"/>
    <w:rsid w:val="00A669B0"/>
    <w:rsid w:val="00A675AF"/>
    <w:rsid w:val="00A67794"/>
    <w:rsid w:val="00A70CE9"/>
    <w:rsid w:val="00A7140B"/>
    <w:rsid w:val="00A717C8"/>
    <w:rsid w:val="00A73FDB"/>
    <w:rsid w:val="00A741D7"/>
    <w:rsid w:val="00A7577E"/>
    <w:rsid w:val="00A766C2"/>
    <w:rsid w:val="00A77196"/>
    <w:rsid w:val="00A77639"/>
    <w:rsid w:val="00A80505"/>
    <w:rsid w:val="00A80864"/>
    <w:rsid w:val="00A8112F"/>
    <w:rsid w:val="00A820D0"/>
    <w:rsid w:val="00A82402"/>
    <w:rsid w:val="00A844BF"/>
    <w:rsid w:val="00A85010"/>
    <w:rsid w:val="00A85219"/>
    <w:rsid w:val="00A85409"/>
    <w:rsid w:val="00A85889"/>
    <w:rsid w:val="00A859A6"/>
    <w:rsid w:val="00A86248"/>
    <w:rsid w:val="00A9061D"/>
    <w:rsid w:val="00A90C6A"/>
    <w:rsid w:val="00A912EF"/>
    <w:rsid w:val="00A914AA"/>
    <w:rsid w:val="00A914D3"/>
    <w:rsid w:val="00A91D70"/>
    <w:rsid w:val="00A91F82"/>
    <w:rsid w:val="00A92343"/>
    <w:rsid w:val="00A92960"/>
    <w:rsid w:val="00A934FA"/>
    <w:rsid w:val="00A95036"/>
    <w:rsid w:val="00A964CA"/>
    <w:rsid w:val="00A971F4"/>
    <w:rsid w:val="00A97457"/>
    <w:rsid w:val="00AA09B3"/>
    <w:rsid w:val="00AA0CA0"/>
    <w:rsid w:val="00AA1D4D"/>
    <w:rsid w:val="00AA24A6"/>
    <w:rsid w:val="00AA3705"/>
    <w:rsid w:val="00AA4193"/>
    <w:rsid w:val="00AA4BF1"/>
    <w:rsid w:val="00AA52DA"/>
    <w:rsid w:val="00AA59D6"/>
    <w:rsid w:val="00AA68F6"/>
    <w:rsid w:val="00AB007B"/>
    <w:rsid w:val="00AB115A"/>
    <w:rsid w:val="00AB3ECC"/>
    <w:rsid w:val="00AB5440"/>
    <w:rsid w:val="00AB5AD1"/>
    <w:rsid w:val="00AB5D61"/>
    <w:rsid w:val="00AB6A33"/>
    <w:rsid w:val="00AC0F1B"/>
    <w:rsid w:val="00AC1F79"/>
    <w:rsid w:val="00AC24D5"/>
    <w:rsid w:val="00AC277D"/>
    <w:rsid w:val="00AC3F79"/>
    <w:rsid w:val="00AC44F3"/>
    <w:rsid w:val="00AC5522"/>
    <w:rsid w:val="00AC6E7C"/>
    <w:rsid w:val="00AC7658"/>
    <w:rsid w:val="00AC7D64"/>
    <w:rsid w:val="00AD09A4"/>
    <w:rsid w:val="00AD0C82"/>
    <w:rsid w:val="00AD113D"/>
    <w:rsid w:val="00AD1F34"/>
    <w:rsid w:val="00AD25FB"/>
    <w:rsid w:val="00AD3583"/>
    <w:rsid w:val="00AD66F9"/>
    <w:rsid w:val="00AD7F7D"/>
    <w:rsid w:val="00AD7FFA"/>
    <w:rsid w:val="00AE0522"/>
    <w:rsid w:val="00AE2304"/>
    <w:rsid w:val="00AE35EF"/>
    <w:rsid w:val="00AE370B"/>
    <w:rsid w:val="00AE40B3"/>
    <w:rsid w:val="00AE41B1"/>
    <w:rsid w:val="00AE4F07"/>
    <w:rsid w:val="00AE6993"/>
    <w:rsid w:val="00AE6BE8"/>
    <w:rsid w:val="00AE744C"/>
    <w:rsid w:val="00AE788E"/>
    <w:rsid w:val="00AE793D"/>
    <w:rsid w:val="00AE7A04"/>
    <w:rsid w:val="00AE7BE0"/>
    <w:rsid w:val="00AF0C2B"/>
    <w:rsid w:val="00AF166B"/>
    <w:rsid w:val="00AF203E"/>
    <w:rsid w:val="00AF2D2E"/>
    <w:rsid w:val="00AF3EDA"/>
    <w:rsid w:val="00AF4940"/>
    <w:rsid w:val="00AF658F"/>
    <w:rsid w:val="00AF6871"/>
    <w:rsid w:val="00AF6B94"/>
    <w:rsid w:val="00AF77ED"/>
    <w:rsid w:val="00B01AFA"/>
    <w:rsid w:val="00B03D45"/>
    <w:rsid w:val="00B0415F"/>
    <w:rsid w:val="00B04CA2"/>
    <w:rsid w:val="00B04DCE"/>
    <w:rsid w:val="00B051F0"/>
    <w:rsid w:val="00B06DA3"/>
    <w:rsid w:val="00B1047A"/>
    <w:rsid w:val="00B1086D"/>
    <w:rsid w:val="00B109C6"/>
    <w:rsid w:val="00B10F7C"/>
    <w:rsid w:val="00B115C3"/>
    <w:rsid w:val="00B14514"/>
    <w:rsid w:val="00B14DE6"/>
    <w:rsid w:val="00B156DE"/>
    <w:rsid w:val="00B202A6"/>
    <w:rsid w:val="00B2063E"/>
    <w:rsid w:val="00B212D3"/>
    <w:rsid w:val="00B213F2"/>
    <w:rsid w:val="00B2150F"/>
    <w:rsid w:val="00B22361"/>
    <w:rsid w:val="00B23090"/>
    <w:rsid w:val="00B2347E"/>
    <w:rsid w:val="00B236D4"/>
    <w:rsid w:val="00B24C1C"/>
    <w:rsid w:val="00B25A3D"/>
    <w:rsid w:val="00B2615E"/>
    <w:rsid w:val="00B26A46"/>
    <w:rsid w:val="00B3148D"/>
    <w:rsid w:val="00B31634"/>
    <w:rsid w:val="00B31F8C"/>
    <w:rsid w:val="00B34FF9"/>
    <w:rsid w:val="00B361D2"/>
    <w:rsid w:val="00B379E7"/>
    <w:rsid w:val="00B37D1F"/>
    <w:rsid w:val="00B407F8"/>
    <w:rsid w:val="00B42123"/>
    <w:rsid w:val="00B421AA"/>
    <w:rsid w:val="00B427D0"/>
    <w:rsid w:val="00B42C94"/>
    <w:rsid w:val="00B43A37"/>
    <w:rsid w:val="00B44CC0"/>
    <w:rsid w:val="00B45682"/>
    <w:rsid w:val="00B46E1C"/>
    <w:rsid w:val="00B4798C"/>
    <w:rsid w:val="00B47A24"/>
    <w:rsid w:val="00B503E9"/>
    <w:rsid w:val="00B513A8"/>
    <w:rsid w:val="00B52FD1"/>
    <w:rsid w:val="00B53C74"/>
    <w:rsid w:val="00B56CA7"/>
    <w:rsid w:val="00B56EFA"/>
    <w:rsid w:val="00B572C5"/>
    <w:rsid w:val="00B607C4"/>
    <w:rsid w:val="00B61456"/>
    <w:rsid w:val="00B629D2"/>
    <w:rsid w:val="00B62E6B"/>
    <w:rsid w:val="00B63BF2"/>
    <w:rsid w:val="00B63FE4"/>
    <w:rsid w:val="00B668B7"/>
    <w:rsid w:val="00B66D2B"/>
    <w:rsid w:val="00B66EE5"/>
    <w:rsid w:val="00B678C1"/>
    <w:rsid w:val="00B67B95"/>
    <w:rsid w:val="00B67E7A"/>
    <w:rsid w:val="00B73EEE"/>
    <w:rsid w:val="00B74595"/>
    <w:rsid w:val="00B748FF"/>
    <w:rsid w:val="00B76BAB"/>
    <w:rsid w:val="00B774E7"/>
    <w:rsid w:val="00B80642"/>
    <w:rsid w:val="00B8086A"/>
    <w:rsid w:val="00B833C9"/>
    <w:rsid w:val="00B84702"/>
    <w:rsid w:val="00B852A0"/>
    <w:rsid w:val="00B8706D"/>
    <w:rsid w:val="00B872AC"/>
    <w:rsid w:val="00B87470"/>
    <w:rsid w:val="00B90285"/>
    <w:rsid w:val="00B90804"/>
    <w:rsid w:val="00B90E87"/>
    <w:rsid w:val="00B91DB8"/>
    <w:rsid w:val="00B926F1"/>
    <w:rsid w:val="00B933E2"/>
    <w:rsid w:val="00B939BC"/>
    <w:rsid w:val="00B956A5"/>
    <w:rsid w:val="00B966E9"/>
    <w:rsid w:val="00B96842"/>
    <w:rsid w:val="00BA0770"/>
    <w:rsid w:val="00BA1620"/>
    <w:rsid w:val="00BA202D"/>
    <w:rsid w:val="00BA3099"/>
    <w:rsid w:val="00BA54AE"/>
    <w:rsid w:val="00BA62EC"/>
    <w:rsid w:val="00BA7E3D"/>
    <w:rsid w:val="00BB244F"/>
    <w:rsid w:val="00BB4D52"/>
    <w:rsid w:val="00BB4D5B"/>
    <w:rsid w:val="00BB6CF9"/>
    <w:rsid w:val="00BB7318"/>
    <w:rsid w:val="00BC0537"/>
    <w:rsid w:val="00BC067C"/>
    <w:rsid w:val="00BC068A"/>
    <w:rsid w:val="00BC0C50"/>
    <w:rsid w:val="00BC0E2C"/>
    <w:rsid w:val="00BC1655"/>
    <w:rsid w:val="00BC34CE"/>
    <w:rsid w:val="00BC3E2E"/>
    <w:rsid w:val="00BC6BE8"/>
    <w:rsid w:val="00BC7485"/>
    <w:rsid w:val="00BD0069"/>
    <w:rsid w:val="00BD1523"/>
    <w:rsid w:val="00BD1574"/>
    <w:rsid w:val="00BD24D1"/>
    <w:rsid w:val="00BD267D"/>
    <w:rsid w:val="00BD5C29"/>
    <w:rsid w:val="00BD6068"/>
    <w:rsid w:val="00BD60A2"/>
    <w:rsid w:val="00BD7342"/>
    <w:rsid w:val="00BE039E"/>
    <w:rsid w:val="00BE0A8F"/>
    <w:rsid w:val="00BE16A7"/>
    <w:rsid w:val="00BE1F42"/>
    <w:rsid w:val="00BE208B"/>
    <w:rsid w:val="00BE2FF5"/>
    <w:rsid w:val="00BE3517"/>
    <w:rsid w:val="00BE38A3"/>
    <w:rsid w:val="00BE4457"/>
    <w:rsid w:val="00BE4F5A"/>
    <w:rsid w:val="00BE50F9"/>
    <w:rsid w:val="00BE57D7"/>
    <w:rsid w:val="00BF20D6"/>
    <w:rsid w:val="00BF34AB"/>
    <w:rsid w:val="00BF4E9C"/>
    <w:rsid w:val="00BF5098"/>
    <w:rsid w:val="00BF682F"/>
    <w:rsid w:val="00BF690D"/>
    <w:rsid w:val="00BF69FF"/>
    <w:rsid w:val="00BF7B2D"/>
    <w:rsid w:val="00C000FA"/>
    <w:rsid w:val="00C002DB"/>
    <w:rsid w:val="00C00EC1"/>
    <w:rsid w:val="00C01317"/>
    <w:rsid w:val="00C0227D"/>
    <w:rsid w:val="00C02744"/>
    <w:rsid w:val="00C028E1"/>
    <w:rsid w:val="00C04FDA"/>
    <w:rsid w:val="00C06E9E"/>
    <w:rsid w:val="00C0747F"/>
    <w:rsid w:val="00C074C0"/>
    <w:rsid w:val="00C07BB9"/>
    <w:rsid w:val="00C128D6"/>
    <w:rsid w:val="00C12EDB"/>
    <w:rsid w:val="00C134BE"/>
    <w:rsid w:val="00C13C5E"/>
    <w:rsid w:val="00C14C78"/>
    <w:rsid w:val="00C14CD5"/>
    <w:rsid w:val="00C1519A"/>
    <w:rsid w:val="00C1684D"/>
    <w:rsid w:val="00C17518"/>
    <w:rsid w:val="00C17616"/>
    <w:rsid w:val="00C17E8B"/>
    <w:rsid w:val="00C17FC9"/>
    <w:rsid w:val="00C20C6A"/>
    <w:rsid w:val="00C21D15"/>
    <w:rsid w:val="00C224E9"/>
    <w:rsid w:val="00C2311C"/>
    <w:rsid w:val="00C23BDE"/>
    <w:rsid w:val="00C263E7"/>
    <w:rsid w:val="00C26AD9"/>
    <w:rsid w:val="00C27DF6"/>
    <w:rsid w:val="00C27E7E"/>
    <w:rsid w:val="00C30CA1"/>
    <w:rsid w:val="00C31BA8"/>
    <w:rsid w:val="00C32D8A"/>
    <w:rsid w:val="00C33C10"/>
    <w:rsid w:val="00C361E1"/>
    <w:rsid w:val="00C36288"/>
    <w:rsid w:val="00C37BF9"/>
    <w:rsid w:val="00C4003D"/>
    <w:rsid w:val="00C4024B"/>
    <w:rsid w:val="00C414C3"/>
    <w:rsid w:val="00C425AF"/>
    <w:rsid w:val="00C4261C"/>
    <w:rsid w:val="00C430B6"/>
    <w:rsid w:val="00C431A3"/>
    <w:rsid w:val="00C4438C"/>
    <w:rsid w:val="00C44536"/>
    <w:rsid w:val="00C461E2"/>
    <w:rsid w:val="00C468AB"/>
    <w:rsid w:val="00C47B36"/>
    <w:rsid w:val="00C5082C"/>
    <w:rsid w:val="00C50D96"/>
    <w:rsid w:val="00C51A8D"/>
    <w:rsid w:val="00C51DA7"/>
    <w:rsid w:val="00C5252F"/>
    <w:rsid w:val="00C52B6D"/>
    <w:rsid w:val="00C530CF"/>
    <w:rsid w:val="00C53D7A"/>
    <w:rsid w:val="00C54773"/>
    <w:rsid w:val="00C5481F"/>
    <w:rsid w:val="00C548F4"/>
    <w:rsid w:val="00C54F5D"/>
    <w:rsid w:val="00C55665"/>
    <w:rsid w:val="00C5586E"/>
    <w:rsid w:val="00C562B0"/>
    <w:rsid w:val="00C566EB"/>
    <w:rsid w:val="00C5792E"/>
    <w:rsid w:val="00C61240"/>
    <w:rsid w:val="00C619CC"/>
    <w:rsid w:val="00C63F4E"/>
    <w:rsid w:val="00C642A0"/>
    <w:rsid w:val="00C6550C"/>
    <w:rsid w:val="00C656D1"/>
    <w:rsid w:val="00C65718"/>
    <w:rsid w:val="00C65C0E"/>
    <w:rsid w:val="00C66E38"/>
    <w:rsid w:val="00C67B6E"/>
    <w:rsid w:val="00C70550"/>
    <w:rsid w:val="00C70A31"/>
    <w:rsid w:val="00C7138A"/>
    <w:rsid w:val="00C7180B"/>
    <w:rsid w:val="00C731F0"/>
    <w:rsid w:val="00C76805"/>
    <w:rsid w:val="00C77210"/>
    <w:rsid w:val="00C773D6"/>
    <w:rsid w:val="00C774C6"/>
    <w:rsid w:val="00C775B0"/>
    <w:rsid w:val="00C80240"/>
    <w:rsid w:val="00C80253"/>
    <w:rsid w:val="00C80497"/>
    <w:rsid w:val="00C8131A"/>
    <w:rsid w:val="00C8275F"/>
    <w:rsid w:val="00C82EDE"/>
    <w:rsid w:val="00C83C93"/>
    <w:rsid w:val="00C83DAD"/>
    <w:rsid w:val="00C848EB"/>
    <w:rsid w:val="00C8530C"/>
    <w:rsid w:val="00C87ADF"/>
    <w:rsid w:val="00C912D0"/>
    <w:rsid w:val="00C91304"/>
    <w:rsid w:val="00C916AC"/>
    <w:rsid w:val="00C923B5"/>
    <w:rsid w:val="00C92853"/>
    <w:rsid w:val="00C92D2A"/>
    <w:rsid w:val="00C92EF3"/>
    <w:rsid w:val="00C93D7C"/>
    <w:rsid w:val="00C94BD3"/>
    <w:rsid w:val="00C94FE8"/>
    <w:rsid w:val="00C9534A"/>
    <w:rsid w:val="00CA0C07"/>
    <w:rsid w:val="00CA32E0"/>
    <w:rsid w:val="00CA634C"/>
    <w:rsid w:val="00CA6FA9"/>
    <w:rsid w:val="00CA7B62"/>
    <w:rsid w:val="00CB0F6D"/>
    <w:rsid w:val="00CB100E"/>
    <w:rsid w:val="00CB24F2"/>
    <w:rsid w:val="00CB2BDC"/>
    <w:rsid w:val="00CB3FB6"/>
    <w:rsid w:val="00CB4500"/>
    <w:rsid w:val="00CB4A71"/>
    <w:rsid w:val="00CB4BCA"/>
    <w:rsid w:val="00CB5BB6"/>
    <w:rsid w:val="00CB7C90"/>
    <w:rsid w:val="00CC03AA"/>
    <w:rsid w:val="00CC03E9"/>
    <w:rsid w:val="00CC43DF"/>
    <w:rsid w:val="00CC47AF"/>
    <w:rsid w:val="00CC5065"/>
    <w:rsid w:val="00CC69AE"/>
    <w:rsid w:val="00CC6A67"/>
    <w:rsid w:val="00CC710D"/>
    <w:rsid w:val="00CC7FBA"/>
    <w:rsid w:val="00CD0687"/>
    <w:rsid w:val="00CD255E"/>
    <w:rsid w:val="00CD34E7"/>
    <w:rsid w:val="00CD57C1"/>
    <w:rsid w:val="00CD5E3A"/>
    <w:rsid w:val="00CE02E3"/>
    <w:rsid w:val="00CE229B"/>
    <w:rsid w:val="00CE39F4"/>
    <w:rsid w:val="00CE6082"/>
    <w:rsid w:val="00CE62BF"/>
    <w:rsid w:val="00CE6A8F"/>
    <w:rsid w:val="00CF0C42"/>
    <w:rsid w:val="00CF0CC7"/>
    <w:rsid w:val="00CF162B"/>
    <w:rsid w:val="00CF2284"/>
    <w:rsid w:val="00CF29F4"/>
    <w:rsid w:val="00CF3C21"/>
    <w:rsid w:val="00CF3CCF"/>
    <w:rsid w:val="00CF4528"/>
    <w:rsid w:val="00CF4A10"/>
    <w:rsid w:val="00CF51F8"/>
    <w:rsid w:val="00CF6EE9"/>
    <w:rsid w:val="00CF702D"/>
    <w:rsid w:val="00CF703D"/>
    <w:rsid w:val="00CF7501"/>
    <w:rsid w:val="00D0172F"/>
    <w:rsid w:val="00D01B56"/>
    <w:rsid w:val="00D02FB5"/>
    <w:rsid w:val="00D02FC3"/>
    <w:rsid w:val="00D03C65"/>
    <w:rsid w:val="00D051E7"/>
    <w:rsid w:val="00D06902"/>
    <w:rsid w:val="00D06B50"/>
    <w:rsid w:val="00D0763C"/>
    <w:rsid w:val="00D100AE"/>
    <w:rsid w:val="00D103C0"/>
    <w:rsid w:val="00D1182C"/>
    <w:rsid w:val="00D119F9"/>
    <w:rsid w:val="00D11B24"/>
    <w:rsid w:val="00D11CFC"/>
    <w:rsid w:val="00D13EF4"/>
    <w:rsid w:val="00D1424B"/>
    <w:rsid w:val="00D15EE5"/>
    <w:rsid w:val="00D15FEC"/>
    <w:rsid w:val="00D16CCB"/>
    <w:rsid w:val="00D20DDA"/>
    <w:rsid w:val="00D212D8"/>
    <w:rsid w:val="00D21B1C"/>
    <w:rsid w:val="00D22388"/>
    <w:rsid w:val="00D249F9"/>
    <w:rsid w:val="00D26228"/>
    <w:rsid w:val="00D263F0"/>
    <w:rsid w:val="00D27422"/>
    <w:rsid w:val="00D274D9"/>
    <w:rsid w:val="00D27808"/>
    <w:rsid w:val="00D2787D"/>
    <w:rsid w:val="00D30154"/>
    <w:rsid w:val="00D310F6"/>
    <w:rsid w:val="00D31737"/>
    <w:rsid w:val="00D318E5"/>
    <w:rsid w:val="00D3285D"/>
    <w:rsid w:val="00D32C7B"/>
    <w:rsid w:val="00D36171"/>
    <w:rsid w:val="00D362C6"/>
    <w:rsid w:val="00D36A70"/>
    <w:rsid w:val="00D420AB"/>
    <w:rsid w:val="00D432E3"/>
    <w:rsid w:val="00D43E28"/>
    <w:rsid w:val="00D43F02"/>
    <w:rsid w:val="00D46261"/>
    <w:rsid w:val="00D4674F"/>
    <w:rsid w:val="00D46D1B"/>
    <w:rsid w:val="00D46EF5"/>
    <w:rsid w:val="00D4711C"/>
    <w:rsid w:val="00D47D07"/>
    <w:rsid w:val="00D47D2C"/>
    <w:rsid w:val="00D500B0"/>
    <w:rsid w:val="00D504DE"/>
    <w:rsid w:val="00D51572"/>
    <w:rsid w:val="00D5238F"/>
    <w:rsid w:val="00D52C4B"/>
    <w:rsid w:val="00D533F7"/>
    <w:rsid w:val="00D536C4"/>
    <w:rsid w:val="00D53735"/>
    <w:rsid w:val="00D537FE"/>
    <w:rsid w:val="00D54A53"/>
    <w:rsid w:val="00D54B44"/>
    <w:rsid w:val="00D54F1B"/>
    <w:rsid w:val="00D55C72"/>
    <w:rsid w:val="00D55F00"/>
    <w:rsid w:val="00D56A05"/>
    <w:rsid w:val="00D56CB8"/>
    <w:rsid w:val="00D60609"/>
    <w:rsid w:val="00D624AB"/>
    <w:rsid w:val="00D63860"/>
    <w:rsid w:val="00D642C6"/>
    <w:rsid w:val="00D6482B"/>
    <w:rsid w:val="00D64C6C"/>
    <w:rsid w:val="00D65428"/>
    <w:rsid w:val="00D65A17"/>
    <w:rsid w:val="00D674F2"/>
    <w:rsid w:val="00D67A6E"/>
    <w:rsid w:val="00D70F3F"/>
    <w:rsid w:val="00D7193C"/>
    <w:rsid w:val="00D72F15"/>
    <w:rsid w:val="00D80BF0"/>
    <w:rsid w:val="00D8195F"/>
    <w:rsid w:val="00D8201C"/>
    <w:rsid w:val="00D82D06"/>
    <w:rsid w:val="00D83654"/>
    <w:rsid w:val="00D8471A"/>
    <w:rsid w:val="00D85482"/>
    <w:rsid w:val="00D864C4"/>
    <w:rsid w:val="00D86507"/>
    <w:rsid w:val="00D87321"/>
    <w:rsid w:val="00D87AF5"/>
    <w:rsid w:val="00D90744"/>
    <w:rsid w:val="00D90B91"/>
    <w:rsid w:val="00D9170C"/>
    <w:rsid w:val="00D91902"/>
    <w:rsid w:val="00D92867"/>
    <w:rsid w:val="00D92B86"/>
    <w:rsid w:val="00D94007"/>
    <w:rsid w:val="00D95AB4"/>
    <w:rsid w:val="00D96B94"/>
    <w:rsid w:val="00D96ECC"/>
    <w:rsid w:val="00D97793"/>
    <w:rsid w:val="00D97979"/>
    <w:rsid w:val="00D97C64"/>
    <w:rsid w:val="00DA0D8D"/>
    <w:rsid w:val="00DA1094"/>
    <w:rsid w:val="00DA2760"/>
    <w:rsid w:val="00DA2FF8"/>
    <w:rsid w:val="00DA3F55"/>
    <w:rsid w:val="00DA5F4B"/>
    <w:rsid w:val="00DA6E08"/>
    <w:rsid w:val="00DB05C2"/>
    <w:rsid w:val="00DB0757"/>
    <w:rsid w:val="00DB0C22"/>
    <w:rsid w:val="00DB14B8"/>
    <w:rsid w:val="00DB1822"/>
    <w:rsid w:val="00DB21CF"/>
    <w:rsid w:val="00DB2DD8"/>
    <w:rsid w:val="00DB2E18"/>
    <w:rsid w:val="00DB37AB"/>
    <w:rsid w:val="00DB3CBB"/>
    <w:rsid w:val="00DB4558"/>
    <w:rsid w:val="00DB4E4C"/>
    <w:rsid w:val="00DB57AB"/>
    <w:rsid w:val="00DB62A3"/>
    <w:rsid w:val="00DB6CFD"/>
    <w:rsid w:val="00DB7357"/>
    <w:rsid w:val="00DB77DA"/>
    <w:rsid w:val="00DC0AD1"/>
    <w:rsid w:val="00DC2BE0"/>
    <w:rsid w:val="00DC2CF1"/>
    <w:rsid w:val="00DC37F0"/>
    <w:rsid w:val="00DC483E"/>
    <w:rsid w:val="00DC4E29"/>
    <w:rsid w:val="00DC5FB5"/>
    <w:rsid w:val="00DC6AE3"/>
    <w:rsid w:val="00DC6F8D"/>
    <w:rsid w:val="00DC7263"/>
    <w:rsid w:val="00DC79F6"/>
    <w:rsid w:val="00DD075B"/>
    <w:rsid w:val="00DD1602"/>
    <w:rsid w:val="00DD1906"/>
    <w:rsid w:val="00DD269F"/>
    <w:rsid w:val="00DD2A66"/>
    <w:rsid w:val="00DD2A9A"/>
    <w:rsid w:val="00DD4166"/>
    <w:rsid w:val="00DD4927"/>
    <w:rsid w:val="00DD5746"/>
    <w:rsid w:val="00DD655B"/>
    <w:rsid w:val="00DD70C4"/>
    <w:rsid w:val="00DD7D9A"/>
    <w:rsid w:val="00DE2C4C"/>
    <w:rsid w:val="00DE3230"/>
    <w:rsid w:val="00DE4343"/>
    <w:rsid w:val="00DE5CCD"/>
    <w:rsid w:val="00DE76F0"/>
    <w:rsid w:val="00DF0DB5"/>
    <w:rsid w:val="00DF16BF"/>
    <w:rsid w:val="00DF289D"/>
    <w:rsid w:val="00DF2B16"/>
    <w:rsid w:val="00DF2D9C"/>
    <w:rsid w:val="00DF3CB5"/>
    <w:rsid w:val="00DF4F45"/>
    <w:rsid w:val="00DF513C"/>
    <w:rsid w:val="00DF68A7"/>
    <w:rsid w:val="00DF74ED"/>
    <w:rsid w:val="00E000BF"/>
    <w:rsid w:val="00E001F5"/>
    <w:rsid w:val="00E00788"/>
    <w:rsid w:val="00E00C73"/>
    <w:rsid w:val="00E01126"/>
    <w:rsid w:val="00E011A2"/>
    <w:rsid w:val="00E015A9"/>
    <w:rsid w:val="00E01834"/>
    <w:rsid w:val="00E01A5B"/>
    <w:rsid w:val="00E01B7B"/>
    <w:rsid w:val="00E01C18"/>
    <w:rsid w:val="00E028EE"/>
    <w:rsid w:val="00E05811"/>
    <w:rsid w:val="00E05C67"/>
    <w:rsid w:val="00E06A48"/>
    <w:rsid w:val="00E06DD9"/>
    <w:rsid w:val="00E07D59"/>
    <w:rsid w:val="00E1163C"/>
    <w:rsid w:val="00E11E1C"/>
    <w:rsid w:val="00E12426"/>
    <w:rsid w:val="00E12613"/>
    <w:rsid w:val="00E13357"/>
    <w:rsid w:val="00E139FD"/>
    <w:rsid w:val="00E14C1C"/>
    <w:rsid w:val="00E1519A"/>
    <w:rsid w:val="00E16803"/>
    <w:rsid w:val="00E16A4D"/>
    <w:rsid w:val="00E16D65"/>
    <w:rsid w:val="00E16EE0"/>
    <w:rsid w:val="00E177FF"/>
    <w:rsid w:val="00E17FFB"/>
    <w:rsid w:val="00E20902"/>
    <w:rsid w:val="00E2098B"/>
    <w:rsid w:val="00E20B62"/>
    <w:rsid w:val="00E20CC2"/>
    <w:rsid w:val="00E217B1"/>
    <w:rsid w:val="00E217D3"/>
    <w:rsid w:val="00E21B92"/>
    <w:rsid w:val="00E226A8"/>
    <w:rsid w:val="00E23236"/>
    <w:rsid w:val="00E233B1"/>
    <w:rsid w:val="00E24FAB"/>
    <w:rsid w:val="00E254D7"/>
    <w:rsid w:val="00E26259"/>
    <w:rsid w:val="00E27816"/>
    <w:rsid w:val="00E27DF5"/>
    <w:rsid w:val="00E300C8"/>
    <w:rsid w:val="00E30484"/>
    <w:rsid w:val="00E30711"/>
    <w:rsid w:val="00E3225B"/>
    <w:rsid w:val="00E32F18"/>
    <w:rsid w:val="00E3364B"/>
    <w:rsid w:val="00E34847"/>
    <w:rsid w:val="00E34F93"/>
    <w:rsid w:val="00E350E3"/>
    <w:rsid w:val="00E351EA"/>
    <w:rsid w:val="00E35B48"/>
    <w:rsid w:val="00E362F7"/>
    <w:rsid w:val="00E40D76"/>
    <w:rsid w:val="00E41155"/>
    <w:rsid w:val="00E4237B"/>
    <w:rsid w:val="00E43030"/>
    <w:rsid w:val="00E432D3"/>
    <w:rsid w:val="00E44657"/>
    <w:rsid w:val="00E453C2"/>
    <w:rsid w:val="00E45B8C"/>
    <w:rsid w:val="00E45F31"/>
    <w:rsid w:val="00E4619A"/>
    <w:rsid w:val="00E462CB"/>
    <w:rsid w:val="00E46347"/>
    <w:rsid w:val="00E468C7"/>
    <w:rsid w:val="00E473D6"/>
    <w:rsid w:val="00E4786F"/>
    <w:rsid w:val="00E47880"/>
    <w:rsid w:val="00E47E22"/>
    <w:rsid w:val="00E47F70"/>
    <w:rsid w:val="00E52F25"/>
    <w:rsid w:val="00E5398D"/>
    <w:rsid w:val="00E545F7"/>
    <w:rsid w:val="00E55F69"/>
    <w:rsid w:val="00E5675B"/>
    <w:rsid w:val="00E56C20"/>
    <w:rsid w:val="00E57445"/>
    <w:rsid w:val="00E57EB3"/>
    <w:rsid w:val="00E601CD"/>
    <w:rsid w:val="00E61C40"/>
    <w:rsid w:val="00E62297"/>
    <w:rsid w:val="00E62400"/>
    <w:rsid w:val="00E6330B"/>
    <w:rsid w:val="00E66BE1"/>
    <w:rsid w:val="00E702F7"/>
    <w:rsid w:val="00E706B1"/>
    <w:rsid w:val="00E71754"/>
    <w:rsid w:val="00E71831"/>
    <w:rsid w:val="00E72828"/>
    <w:rsid w:val="00E72948"/>
    <w:rsid w:val="00E72C50"/>
    <w:rsid w:val="00E72E7C"/>
    <w:rsid w:val="00E74108"/>
    <w:rsid w:val="00E74569"/>
    <w:rsid w:val="00E7550F"/>
    <w:rsid w:val="00E75875"/>
    <w:rsid w:val="00E7595F"/>
    <w:rsid w:val="00E76197"/>
    <w:rsid w:val="00E76A6B"/>
    <w:rsid w:val="00E76AB4"/>
    <w:rsid w:val="00E76FEC"/>
    <w:rsid w:val="00E804B1"/>
    <w:rsid w:val="00E809E9"/>
    <w:rsid w:val="00E825EA"/>
    <w:rsid w:val="00E83B41"/>
    <w:rsid w:val="00E84810"/>
    <w:rsid w:val="00E85B0A"/>
    <w:rsid w:val="00E86A14"/>
    <w:rsid w:val="00E91533"/>
    <w:rsid w:val="00E91839"/>
    <w:rsid w:val="00E91B7C"/>
    <w:rsid w:val="00E93D69"/>
    <w:rsid w:val="00E93DAA"/>
    <w:rsid w:val="00E9652B"/>
    <w:rsid w:val="00E96C8D"/>
    <w:rsid w:val="00E97B87"/>
    <w:rsid w:val="00EA2932"/>
    <w:rsid w:val="00EA361A"/>
    <w:rsid w:val="00EA58C7"/>
    <w:rsid w:val="00EA685D"/>
    <w:rsid w:val="00EA787B"/>
    <w:rsid w:val="00EA7AF1"/>
    <w:rsid w:val="00EB008C"/>
    <w:rsid w:val="00EB04CC"/>
    <w:rsid w:val="00EB0DCF"/>
    <w:rsid w:val="00EB2AA0"/>
    <w:rsid w:val="00EB3F4E"/>
    <w:rsid w:val="00EB48B7"/>
    <w:rsid w:val="00EB5438"/>
    <w:rsid w:val="00EB73B5"/>
    <w:rsid w:val="00EB7694"/>
    <w:rsid w:val="00EC021D"/>
    <w:rsid w:val="00EC0255"/>
    <w:rsid w:val="00EC0BB5"/>
    <w:rsid w:val="00EC0D64"/>
    <w:rsid w:val="00EC1993"/>
    <w:rsid w:val="00EC3201"/>
    <w:rsid w:val="00EC3D8D"/>
    <w:rsid w:val="00EC4D47"/>
    <w:rsid w:val="00EC5956"/>
    <w:rsid w:val="00EC626A"/>
    <w:rsid w:val="00EC634A"/>
    <w:rsid w:val="00EC64ED"/>
    <w:rsid w:val="00EC71A0"/>
    <w:rsid w:val="00ED0E9E"/>
    <w:rsid w:val="00ED1441"/>
    <w:rsid w:val="00ED14E5"/>
    <w:rsid w:val="00ED26FC"/>
    <w:rsid w:val="00ED5FE7"/>
    <w:rsid w:val="00ED7E4B"/>
    <w:rsid w:val="00EE04CB"/>
    <w:rsid w:val="00EE062D"/>
    <w:rsid w:val="00EE0905"/>
    <w:rsid w:val="00EE0A15"/>
    <w:rsid w:val="00EE1BF4"/>
    <w:rsid w:val="00EE2B04"/>
    <w:rsid w:val="00EE47EB"/>
    <w:rsid w:val="00EE58FD"/>
    <w:rsid w:val="00EE64AC"/>
    <w:rsid w:val="00EE6725"/>
    <w:rsid w:val="00EE7076"/>
    <w:rsid w:val="00EE77C5"/>
    <w:rsid w:val="00EF0333"/>
    <w:rsid w:val="00EF2246"/>
    <w:rsid w:val="00EF289F"/>
    <w:rsid w:val="00EF384F"/>
    <w:rsid w:val="00EF3AFE"/>
    <w:rsid w:val="00EF4995"/>
    <w:rsid w:val="00EF5585"/>
    <w:rsid w:val="00EF57A9"/>
    <w:rsid w:val="00EF6516"/>
    <w:rsid w:val="00EF7900"/>
    <w:rsid w:val="00F010E3"/>
    <w:rsid w:val="00F01513"/>
    <w:rsid w:val="00F016A5"/>
    <w:rsid w:val="00F019C8"/>
    <w:rsid w:val="00F02176"/>
    <w:rsid w:val="00F02F9E"/>
    <w:rsid w:val="00F04142"/>
    <w:rsid w:val="00F04D0B"/>
    <w:rsid w:val="00F05004"/>
    <w:rsid w:val="00F0524F"/>
    <w:rsid w:val="00F059F1"/>
    <w:rsid w:val="00F05BB4"/>
    <w:rsid w:val="00F05FAE"/>
    <w:rsid w:val="00F06215"/>
    <w:rsid w:val="00F07496"/>
    <w:rsid w:val="00F07796"/>
    <w:rsid w:val="00F11C59"/>
    <w:rsid w:val="00F123CC"/>
    <w:rsid w:val="00F12CA4"/>
    <w:rsid w:val="00F1387B"/>
    <w:rsid w:val="00F13A8F"/>
    <w:rsid w:val="00F1608F"/>
    <w:rsid w:val="00F16F67"/>
    <w:rsid w:val="00F1759F"/>
    <w:rsid w:val="00F17C71"/>
    <w:rsid w:val="00F20A0F"/>
    <w:rsid w:val="00F21E06"/>
    <w:rsid w:val="00F233D2"/>
    <w:rsid w:val="00F24612"/>
    <w:rsid w:val="00F247E1"/>
    <w:rsid w:val="00F25360"/>
    <w:rsid w:val="00F259C9"/>
    <w:rsid w:val="00F30B13"/>
    <w:rsid w:val="00F31A57"/>
    <w:rsid w:val="00F32AC7"/>
    <w:rsid w:val="00F34529"/>
    <w:rsid w:val="00F35357"/>
    <w:rsid w:val="00F35776"/>
    <w:rsid w:val="00F35822"/>
    <w:rsid w:val="00F365A4"/>
    <w:rsid w:val="00F368EC"/>
    <w:rsid w:val="00F37F68"/>
    <w:rsid w:val="00F41562"/>
    <w:rsid w:val="00F41908"/>
    <w:rsid w:val="00F4227C"/>
    <w:rsid w:val="00F42E49"/>
    <w:rsid w:val="00F44A9B"/>
    <w:rsid w:val="00F44FEE"/>
    <w:rsid w:val="00F4574B"/>
    <w:rsid w:val="00F45977"/>
    <w:rsid w:val="00F46B9F"/>
    <w:rsid w:val="00F4711C"/>
    <w:rsid w:val="00F50620"/>
    <w:rsid w:val="00F50DF4"/>
    <w:rsid w:val="00F51906"/>
    <w:rsid w:val="00F51CAD"/>
    <w:rsid w:val="00F52EAB"/>
    <w:rsid w:val="00F52FBC"/>
    <w:rsid w:val="00F5515E"/>
    <w:rsid w:val="00F5529F"/>
    <w:rsid w:val="00F568B6"/>
    <w:rsid w:val="00F56D80"/>
    <w:rsid w:val="00F56F59"/>
    <w:rsid w:val="00F57B9D"/>
    <w:rsid w:val="00F61AE0"/>
    <w:rsid w:val="00F61E07"/>
    <w:rsid w:val="00F628E9"/>
    <w:rsid w:val="00F62B09"/>
    <w:rsid w:val="00F6317F"/>
    <w:rsid w:val="00F63343"/>
    <w:rsid w:val="00F63987"/>
    <w:rsid w:val="00F63ECB"/>
    <w:rsid w:val="00F6474F"/>
    <w:rsid w:val="00F64B57"/>
    <w:rsid w:val="00F65193"/>
    <w:rsid w:val="00F65686"/>
    <w:rsid w:val="00F659D1"/>
    <w:rsid w:val="00F65DC9"/>
    <w:rsid w:val="00F676F2"/>
    <w:rsid w:val="00F67A6D"/>
    <w:rsid w:val="00F708DB"/>
    <w:rsid w:val="00F70CFE"/>
    <w:rsid w:val="00F70F2A"/>
    <w:rsid w:val="00F73278"/>
    <w:rsid w:val="00F762F4"/>
    <w:rsid w:val="00F766BC"/>
    <w:rsid w:val="00F76BC3"/>
    <w:rsid w:val="00F76E6A"/>
    <w:rsid w:val="00F77953"/>
    <w:rsid w:val="00F80065"/>
    <w:rsid w:val="00F80F9A"/>
    <w:rsid w:val="00F817E5"/>
    <w:rsid w:val="00F81AF4"/>
    <w:rsid w:val="00F82D83"/>
    <w:rsid w:val="00F8378A"/>
    <w:rsid w:val="00F83BB4"/>
    <w:rsid w:val="00F84618"/>
    <w:rsid w:val="00F86753"/>
    <w:rsid w:val="00F87419"/>
    <w:rsid w:val="00F87829"/>
    <w:rsid w:val="00F90B7D"/>
    <w:rsid w:val="00F917A9"/>
    <w:rsid w:val="00F929F0"/>
    <w:rsid w:val="00F93833"/>
    <w:rsid w:val="00F93C9C"/>
    <w:rsid w:val="00F94034"/>
    <w:rsid w:val="00F95DB6"/>
    <w:rsid w:val="00F971DE"/>
    <w:rsid w:val="00F97389"/>
    <w:rsid w:val="00FA07C9"/>
    <w:rsid w:val="00FA0B19"/>
    <w:rsid w:val="00FA198C"/>
    <w:rsid w:val="00FA36CE"/>
    <w:rsid w:val="00FA41B0"/>
    <w:rsid w:val="00FA4676"/>
    <w:rsid w:val="00FA5E02"/>
    <w:rsid w:val="00FA6697"/>
    <w:rsid w:val="00FB16AE"/>
    <w:rsid w:val="00FB1B1D"/>
    <w:rsid w:val="00FB41BF"/>
    <w:rsid w:val="00FB4A7F"/>
    <w:rsid w:val="00FB6CED"/>
    <w:rsid w:val="00FB70D3"/>
    <w:rsid w:val="00FB7C6B"/>
    <w:rsid w:val="00FC02F5"/>
    <w:rsid w:val="00FC13DB"/>
    <w:rsid w:val="00FC26D2"/>
    <w:rsid w:val="00FC2840"/>
    <w:rsid w:val="00FC3B5F"/>
    <w:rsid w:val="00FC4521"/>
    <w:rsid w:val="00FC48C2"/>
    <w:rsid w:val="00FC57A2"/>
    <w:rsid w:val="00FC6373"/>
    <w:rsid w:val="00FC6E4F"/>
    <w:rsid w:val="00FC711C"/>
    <w:rsid w:val="00FC7A78"/>
    <w:rsid w:val="00FC7BDA"/>
    <w:rsid w:val="00FD0D5C"/>
    <w:rsid w:val="00FD19F8"/>
    <w:rsid w:val="00FD3B04"/>
    <w:rsid w:val="00FD7EA2"/>
    <w:rsid w:val="00FD7F59"/>
    <w:rsid w:val="00FE3F27"/>
    <w:rsid w:val="00FE5106"/>
    <w:rsid w:val="00FE5257"/>
    <w:rsid w:val="00FE536E"/>
    <w:rsid w:val="00FE6806"/>
    <w:rsid w:val="00FE70CA"/>
    <w:rsid w:val="00FE736C"/>
    <w:rsid w:val="00FE773B"/>
    <w:rsid w:val="00FE7EC6"/>
    <w:rsid w:val="00FF0F2C"/>
    <w:rsid w:val="00FF1572"/>
    <w:rsid w:val="00FF3A15"/>
    <w:rsid w:val="00FF50F2"/>
    <w:rsid w:val="00FF54EA"/>
    <w:rsid w:val="00FF7428"/>
    <w:rsid w:val="00FF78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10B5C1"/>
  <w15:docId w15:val="{5B917E4E-A1A5-45DF-B8FC-A6A6F25B6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Batang" w:hAnsi="Open Sans" w:cs="Times New Roman"/>
        <w:lang w:val="en-US" w:eastAsia="en-US" w:bidi="ar-SA"/>
      </w:rPr>
    </w:rPrDefault>
    <w:pPrDefault/>
  </w:docDefaults>
  <w:latentStyles w:defLockedState="0" w:defUIPriority="0" w:defSemiHidden="0" w:defUnhideWhenUsed="0" w:defQFormat="0" w:count="376">
    <w:lsdException w:name="heading 1" w:uiPriority="1"/>
    <w:lsdException w:name="heading 2" w:uiPriority="1"/>
    <w:lsdException w:name="heading 3" w:semiHidden="1" w:uiPriority="1" w:unhideWhenUsed="1"/>
    <w:lsdException w:name="heading 4" w:semiHidden="1" w:uiPriority="1"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iPriority="3" w:unhideWhenUsed="1"/>
    <w:lsdException w:name="List Bullet" w:semiHidden="1" w:unhideWhenUsed="1"/>
    <w:lsdException w:name="List Number" w:semiHidden="1" w:unhideWhenUsed="1"/>
    <w:lsdException w:name="List 2" w:semiHidden="1" w:uiPriority="3" w:unhideWhenUsed="1"/>
    <w:lsdException w:name="List 3" w:semiHidden="1" w:uiPriority="3"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unhideWhenUsed="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F56D80"/>
    <w:pPr>
      <w:spacing w:before="120" w:after="120" w:line="252" w:lineRule="auto"/>
      <w:jc w:val="both"/>
    </w:pPr>
  </w:style>
  <w:style w:type="paragraph" w:styleId="Heading1">
    <w:name w:val="heading 1"/>
    <w:basedOn w:val="Normal"/>
    <w:next w:val="Normal"/>
    <w:link w:val="Heading1Char"/>
    <w:uiPriority w:val="1"/>
    <w:rsid w:val="00F56D80"/>
    <w:pPr>
      <w:keepNext/>
      <w:widowControl w:val="0"/>
      <w:pBdr>
        <w:bottom w:val="single" w:sz="4" w:space="8" w:color="auto"/>
      </w:pBdr>
      <w:spacing w:before="0" w:after="240"/>
      <w:jc w:val="center"/>
      <w:outlineLvl w:val="0"/>
    </w:pPr>
    <w:rPr>
      <w:b/>
      <w:sz w:val="28"/>
      <w:szCs w:val="28"/>
    </w:rPr>
  </w:style>
  <w:style w:type="paragraph" w:styleId="Heading2">
    <w:name w:val="heading 2"/>
    <w:basedOn w:val="Normal"/>
    <w:next w:val="Normal"/>
    <w:link w:val="Heading2Char"/>
    <w:uiPriority w:val="1"/>
    <w:qFormat/>
    <w:rsid w:val="00F56D80"/>
    <w:pPr>
      <w:keepNext/>
      <w:keepLines/>
      <w:spacing w:before="480"/>
      <w:jc w:val="left"/>
      <w:outlineLvl w:val="1"/>
    </w:pPr>
    <w:rPr>
      <w:b/>
      <w:bCs/>
      <w:sz w:val="24"/>
      <w:szCs w:val="24"/>
      <w:u w:val="single"/>
    </w:rPr>
  </w:style>
  <w:style w:type="paragraph" w:styleId="Heading3">
    <w:name w:val="heading 3"/>
    <w:basedOn w:val="Normal"/>
    <w:next w:val="Normal"/>
    <w:link w:val="Heading3Char"/>
    <w:uiPriority w:val="1"/>
    <w:qFormat/>
    <w:rsid w:val="00F56D80"/>
    <w:pPr>
      <w:keepNext/>
      <w:keepLines/>
      <w:spacing w:before="240"/>
      <w:jc w:val="left"/>
      <w:outlineLvl w:val="2"/>
    </w:pPr>
    <w:rPr>
      <w:b/>
      <w:bCs/>
    </w:rPr>
  </w:style>
  <w:style w:type="paragraph" w:styleId="Heading4">
    <w:name w:val="heading 4"/>
    <w:basedOn w:val="Normal"/>
    <w:next w:val="Normal"/>
    <w:link w:val="Heading4Char"/>
    <w:uiPriority w:val="1"/>
    <w:qFormat/>
    <w:rsid w:val="00F56D80"/>
    <w:pPr>
      <w:keepNext/>
      <w:keepLines/>
      <w:spacing w:before="240"/>
      <w:jc w:val="left"/>
      <w:outlineLvl w:val="3"/>
    </w:pPr>
    <w:rPr>
      <w:u w:val="single"/>
    </w:rPr>
  </w:style>
  <w:style w:type="paragraph" w:styleId="Heading5">
    <w:name w:val="heading 5"/>
    <w:basedOn w:val="Normal"/>
    <w:next w:val="Normal"/>
    <w:link w:val="Heading5Char"/>
    <w:uiPriority w:val="9"/>
    <w:semiHidden/>
    <w:rsid w:val="00F56D80"/>
    <w:pPr>
      <w:spacing w:before="60"/>
      <w:outlineLvl w:val="4"/>
    </w:pPr>
  </w:style>
  <w:style w:type="paragraph" w:styleId="Heading6">
    <w:name w:val="heading 6"/>
    <w:basedOn w:val="Normal"/>
    <w:next w:val="Normal"/>
    <w:link w:val="Heading6Char"/>
    <w:uiPriority w:val="9"/>
    <w:semiHidden/>
    <w:rsid w:val="00F56D80"/>
    <w:pPr>
      <w:spacing w:before="60"/>
      <w:outlineLvl w:val="5"/>
    </w:pPr>
  </w:style>
  <w:style w:type="paragraph" w:styleId="Heading7">
    <w:name w:val="heading 7"/>
    <w:basedOn w:val="Normal"/>
    <w:next w:val="Normal"/>
    <w:link w:val="Heading7Char"/>
    <w:uiPriority w:val="9"/>
    <w:semiHidden/>
    <w:rsid w:val="00F56D80"/>
    <w:pPr>
      <w:keepNext/>
      <w:keepLines/>
      <w:spacing w:before="200"/>
      <w:outlineLvl w:val="6"/>
    </w:pPr>
    <w:rPr>
      <w:rFonts w:ascii="Calibri Light" w:eastAsiaTheme="majorEastAsia" w:hAnsi="Calibri Light" w:cstheme="majorBidi"/>
      <w:i/>
      <w:iCs/>
      <w:color w:val="404040"/>
    </w:rPr>
  </w:style>
  <w:style w:type="paragraph" w:styleId="Heading8">
    <w:name w:val="heading 8"/>
    <w:basedOn w:val="Normal"/>
    <w:next w:val="Normal"/>
    <w:link w:val="Heading8Char"/>
    <w:uiPriority w:val="9"/>
    <w:semiHidden/>
    <w:unhideWhenUsed/>
    <w:rsid w:val="00F56D80"/>
    <w:pPr>
      <w:keepNext/>
      <w:keepLines/>
      <w:spacing w:before="200"/>
      <w:outlineLvl w:val="7"/>
    </w:pPr>
    <w:rPr>
      <w:rFonts w:ascii="Calibri Light" w:eastAsiaTheme="majorEastAsia" w:hAnsi="Calibri Light" w:cstheme="majorBidi"/>
      <w:color w:val="404040"/>
    </w:rPr>
  </w:style>
  <w:style w:type="paragraph" w:styleId="Heading9">
    <w:name w:val="heading 9"/>
    <w:basedOn w:val="Normal"/>
    <w:next w:val="Normal"/>
    <w:link w:val="Heading9Char"/>
    <w:uiPriority w:val="9"/>
    <w:semiHidden/>
    <w:unhideWhenUsed/>
    <w:rsid w:val="00F56D80"/>
    <w:pPr>
      <w:keepNext/>
      <w:keepLines/>
      <w:spacing w:before="200"/>
      <w:outlineLvl w:val="8"/>
    </w:pPr>
    <w:rPr>
      <w:rFonts w:ascii="Calibri Light" w:eastAsiaTheme="majorEastAsia" w:hAnsi="Calibri Light" w:cstheme="majorBidi"/>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
    <w:name w:val="List"/>
    <w:basedOn w:val="Normal"/>
    <w:uiPriority w:val="3"/>
    <w:rsid w:val="00F56D80"/>
    <w:pPr>
      <w:numPr>
        <w:numId w:val="2"/>
      </w:numPr>
      <w:spacing w:after="60"/>
      <w:jc w:val="left"/>
    </w:pPr>
  </w:style>
  <w:style w:type="character" w:styleId="Hyperlink">
    <w:name w:val="Hyperlink"/>
    <w:basedOn w:val="DefaultParagraphFont"/>
    <w:uiPriority w:val="99"/>
    <w:unhideWhenUsed/>
    <w:rsid w:val="00F56D80"/>
    <w:rPr>
      <w:color w:val="0563C1" w:themeColor="hyperlink"/>
      <w:u w:val="single"/>
    </w:rPr>
  </w:style>
  <w:style w:type="paragraph" w:styleId="Footer">
    <w:name w:val="footer"/>
    <w:basedOn w:val="Normal"/>
    <w:link w:val="FooterChar"/>
    <w:uiPriority w:val="99"/>
    <w:unhideWhenUsed/>
    <w:rsid w:val="00F56D80"/>
    <w:pPr>
      <w:tabs>
        <w:tab w:val="right" w:pos="10490"/>
      </w:tabs>
      <w:spacing w:before="0" w:after="0" w:line="240" w:lineRule="auto"/>
      <w:ind w:left="-284" w:right="-284"/>
    </w:pPr>
    <w:rPr>
      <w:noProof/>
      <w:sz w:val="16"/>
      <w:szCs w:val="16"/>
    </w:rPr>
  </w:style>
  <w:style w:type="character" w:customStyle="1" w:styleId="Heading1Char">
    <w:name w:val="Heading 1 Char"/>
    <w:link w:val="Heading1"/>
    <w:uiPriority w:val="1"/>
    <w:qFormat/>
    <w:rsid w:val="00F56D80"/>
    <w:rPr>
      <w:rFonts w:ascii="Open Sans" w:hAnsi="Open Sans"/>
      <w:b/>
      <w:sz w:val="28"/>
      <w:szCs w:val="28"/>
    </w:rPr>
  </w:style>
  <w:style w:type="character" w:customStyle="1" w:styleId="Heading2Char">
    <w:name w:val="Heading 2 Char"/>
    <w:link w:val="Heading2"/>
    <w:uiPriority w:val="1"/>
    <w:rsid w:val="00F56D80"/>
    <w:rPr>
      <w:rFonts w:ascii="Open Sans" w:hAnsi="Open Sans"/>
      <w:b/>
      <w:bCs/>
      <w:sz w:val="24"/>
      <w:szCs w:val="24"/>
      <w:u w:val="single"/>
    </w:rPr>
  </w:style>
  <w:style w:type="paragraph" w:styleId="List2">
    <w:name w:val="List 2"/>
    <w:basedOn w:val="Normal"/>
    <w:uiPriority w:val="3"/>
    <w:rsid w:val="00F56D80"/>
    <w:pPr>
      <w:numPr>
        <w:numId w:val="3"/>
      </w:numPr>
      <w:spacing w:before="60"/>
    </w:pPr>
  </w:style>
  <w:style w:type="character" w:customStyle="1" w:styleId="Heading3Char">
    <w:name w:val="Heading 3 Char"/>
    <w:link w:val="Heading3"/>
    <w:uiPriority w:val="1"/>
    <w:qFormat/>
    <w:rsid w:val="00F56D80"/>
    <w:rPr>
      <w:rFonts w:ascii="Open Sans" w:hAnsi="Open Sans"/>
      <w:b/>
      <w:bCs/>
    </w:rPr>
  </w:style>
  <w:style w:type="character" w:customStyle="1" w:styleId="Heading4Char">
    <w:name w:val="Heading 4 Char"/>
    <w:link w:val="Heading4"/>
    <w:uiPriority w:val="1"/>
    <w:rsid w:val="00F56D80"/>
    <w:rPr>
      <w:rFonts w:ascii="Open Sans" w:hAnsi="Open Sans"/>
      <w:u w:val="single"/>
    </w:rPr>
  </w:style>
  <w:style w:type="paragraph" w:styleId="List3">
    <w:name w:val="List 3"/>
    <w:basedOn w:val="Normal"/>
    <w:uiPriority w:val="3"/>
    <w:rsid w:val="00F56D80"/>
    <w:pPr>
      <w:numPr>
        <w:numId w:val="4"/>
      </w:numPr>
    </w:pPr>
  </w:style>
  <w:style w:type="character" w:styleId="EndnoteReference">
    <w:name w:val="endnote reference"/>
    <w:uiPriority w:val="99"/>
    <w:semiHidden/>
    <w:rsid w:val="00F56D80"/>
    <w:rPr>
      <w:vertAlign w:val="superscript"/>
    </w:rPr>
  </w:style>
  <w:style w:type="paragraph" w:styleId="EndnoteText">
    <w:name w:val="endnote text"/>
    <w:basedOn w:val="Normal"/>
    <w:link w:val="EndnoteTextChar"/>
    <w:uiPriority w:val="99"/>
    <w:semiHidden/>
    <w:rsid w:val="00F56D80"/>
    <w:pPr>
      <w:spacing w:after="20"/>
    </w:pPr>
  </w:style>
  <w:style w:type="character" w:customStyle="1" w:styleId="EndnoteTextChar">
    <w:name w:val="Endnote Text Char"/>
    <w:link w:val="EndnoteText"/>
    <w:uiPriority w:val="99"/>
    <w:semiHidden/>
    <w:rsid w:val="00F56D80"/>
    <w:rPr>
      <w:rFonts w:ascii="Open Sans" w:hAnsi="Open Sans"/>
    </w:rPr>
  </w:style>
  <w:style w:type="character" w:styleId="FootnoteReference">
    <w:name w:val="footnote reference"/>
    <w:uiPriority w:val="99"/>
    <w:semiHidden/>
    <w:rsid w:val="00F56D80"/>
    <w:rPr>
      <w:vertAlign w:val="superscript"/>
    </w:rPr>
  </w:style>
  <w:style w:type="paragraph" w:styleId="FootnoteText">
    <w:name w:val="footnote text"/>
    <w:basedOn w:val="Normal"/>
    <w:link w:val="FootnoteTextChar"/>
    <w:uiPriority w:val="99"/>
    <w:semiHidden/>
    <w:rsid w:val="00F56D80"/>
    <w:rPr>
      <w:sz w:val="16"/>
      <w:szCs w:val="16"/>
    </w:rPr>
  </w:style>
  <w:style w:type="character" w:customStyle="1" w:styleId="FootnoteTextChar">
    <w:name w:val="Footnote Text Char"/>
    <w:link w:val="FootnoteText"/>
    <w:uiPriority w:val="99"/>
    <w:semiHidden/>
    <w:rsid w:val="00F56D80"/>
    <w:rPr>
      <w:rFonts w:ascii="Open Sans" w:hAnsi="Open Sans"/>
      <w:sz w:val="16"/>
      <w:szCs w:val="16"/>
    </w:rPr>
  </w:style>
  <w:style w:type="character" w:customStyle="1" w:styleId="Heading5Char">
    <w:name w:val="Heading 5 Char"/>
    <w:link w:val="Heading5"/>
    <w:uiPriority w:val="9"/>
    <w:semiHidden/>
    <w:rsid w:val="00F56D80"/>
    <w:rPr>
      <w:rFonts w:ascii="Open Sans" w:hAnsi="Open Sans"/>
    </w:rPr>
  </w:style>
  <w:style w:type="table" w:styleId="TableGrid">
    <w:name w:val="Table Grid"/>
    <w:basedOn w:val="TableNormal"/>
    <w:uiPriority w:val="39"/>
    <w:rsid w:val="00A35AD1"/>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
    <w:name w:val="Section"/>
    <w:basedOn w:val="Normal"/>
    <w:next w:val="Article1"/>
    <w:uiPriority w:val="2"/>
    <w:qFormat/>
    <w:rsid w:val="00F56D80"/>
    <w:pPr>
      <w:keepNext/>
      <w:keepLines/>
      <w:numPr>
        <w:numId w:val="5"/>
      </w:numPr>
      <w:spacing w:before="480"/>
      <w:jc w:val="left"/>
      <w:outlineLvl w:val="0"/>
    </w:pPr>
    <w:rPr>
      <w:b/>
      <w:bCs/>
      <w:sz w:val="24"/>
      <w:szCs w:val="24"/>
      <w:u w:val="single"/>
    </w:rPr>
  </w:style>
  <w:style w:type="paragraph" w:styleId="TOC1">
    <w:name w:val="toc 1"/>
    <w:basedOn w:val="Normal"/>
    <w:next w:val="Normal"/>
    <w:autoRedefine/>
    <w:uiPriority w:val="39"/>
    <w:unhideWhenUsed/>
    <w:rsid w:val="00F56D80"/>
    <w:pPr>
      <w:tabs>
        <w:tab w:val="right" w:leader="dot" w:pos="9923"/>
      </w:tabs>
      <w:ind w:right="567"/>
    </w:pPr>
    <w:rPr>
      <w:b/>
      <w:bCs/>
      <w:noProof/>
    </w:rPr>
  </w:style>
  <w:style w:type="paragraph" w:styleId="TOC2">
    <w:name w:val="toc 2"/>
    <w:basedOn w:val="Normal"/>
    <w:next w:val="Normal"/>
    <w:autoRedefine/>
    <w:uiPriority w:val="39"/>
    <w:unhideWhenUsed/>
    <w:rsid w:val="00F56D80"/>
    <w:pPr>
      <w:tabs>
        <w:tab w:val="left" w:pos="426"/>
        <w:tab w:val="right" w:leader="dot" w:pos="9923"/>
      </w:tabs>
      <w:spacing w:before="60" w:after="0"/>
      <w:ind w:right="567"/>
    </w:pPr>
    <w:rPr>
      <w:noProof/>
    </w:rPr>
  </w:style>
  <w:style w:type="paragraph" w:styleId="TOC3">
    <w:name w:val="toc 3"/>
    <w:basedOn w:val="Normal"/>
    <w:next w:val="Normal"/>
    <w:autoRedefine/>
    <w:uiPriority w:val="39"/>
    <w:unhideWhenUsed/>
    <w:rsid w:val="00F56D80"/>
    <w:pPr>
      <w:tabs>
        <w:tab w:val="right" w:leader="dot" w:pos="9923"/>
      </w:tabs>
      <w:spacing w:before="0" w:after="0"/>
      <w:ind w:left="403" w:right="567"/>
    </w:pPr>
  </w:style>
  <w:style w:type="paragraph" w:styleId="Revision">
    <w:name w:val="Revision"/>
    <w:hidden/>
    <w:uiPriority w:val="99"/>
    <w:semiHidden/>
    <w:rsid w:val="006C1CBD"/>
    <w:rPr>
      <w:rFonts w:cs="Calibri Light"/>
      <w:color w:val="000000"/>
      <w:lang w:val="fr-FR" w:eastAsia="fr-FR"/>
    </w:rPr>
  </w:style>
  <w:style w:type="character" w:customStyle="1" w:styleId="FooterChar">
    <w:name w:val="Footer Char"/>
    <w:basedOn w:val="DefaultParagraphFont"/>
    <w:link w:val="Footer"/>
    <w:uiPriority w:val="99"/>
    <w:rsid w:val="00F56D80"/>
    <w:rPr>
      <w:rFonts w:ascii="Open Sans" w:hAnsi="Open Sans"/>
      <w:noProof/>
      <w:sz w:val="16"/>
      <w:szCs w:val="16"/>
    </w:rPr>
  </w:style>
  <w:style w:type="paragraph" w:customStyle="1" w:styleId="Appendix1">
    <w:name w:val="Appendix 1"/>
    <w:basedOn w:val="Normal"/>
    <w:next w:val="Appendix2"/>
    <w:link w:val="Appendix1Char"/>
    <w:uiPriority w:val="4"/>
    <w:qFormat/>
    <w:rsid w:val="00F56D80"/>
    <w:pPr>
      <w:keepNext/>
      <w:keepLines/>
      <w:pageBreakBefore/>
      <w:numPr>
        <w:numId w:val="1"/>
      </w:numPr>
      <w:pBdr>
        <w:bottom w:val="single" w:sz="4" w:space="5" w:color="auto"/>
      </w:pBdr>
      <w:spacing w:before="0" w:after="240"/>
      <w:jc w:val="center"/>
      <w:outlineLvl w:val="0"/>
    </w:pPr>
    <w:rPr>
      <w:b/>
      <w:bCs/>
      <w:sz w:val="28"/>
      <w:szCs w:val="28"/>
    </w:rPr>
  </w:style>
  <w:style w:type="character" w:customStyle="1" w:styleId="Appendix1Char">
    <w:name w:val="Appendix 1 Char"/>
    <w:basedOn w:val="DefaultParagraphFont"/>
    <w:link w:val="Appendix1"/>
    <w:uiPriority w:val="4"/>
    <w:rsid w:val="00F56D80"/>
    <w:rPr>
      <w:b/>
      <w:bCs/>
      <w:sz w:val="28"/>
      <w:szCs w:val="28"/>
    </w:rPr>
  </w:style>
  <w:style w:type="character" w:customStyle="1" w:styleId="Heading6Char">
    <w:name w:val="Heading 6 Char"/>
    <w:basedOn w:val="DefaultParagraphFont"/>
    <w:link w:val="Heading6"/>
    <w:uiPriority w:val="9"/>
    <w:semiHidden/>
    <w:rsid w:val="00F56D80"/>
    <w:rPr>
      <w:rFonts w:ascii="Open Sans" w:hAnsi="Open Sans"/>
    </w:rPr>
  </w:style>
  <w:style w:type="character" w:customStyle="1" w:styleId="Heading7Char">
    <w:name w:val="Heading 7 Char"/>
    <w:basedOn w:val="DefaultParagraphFont"/>
    <w:link w:val="Heading7"/>
    <w:uiPriority w:val="9"/>
    <w:semiHidden/>
    <w:rsid w:val="00F56D80"/>
    <w:rPr>
      <w:rFonts w:ascii="Calibri Light" w:eastAsiaTheme="majorEastAsia" w:hAnsi="Calibri Light" w:cstheme="majorBidi"/>
      <w:i/>
      <w:iCs/>
      <w:color w:val="404040"/>
    </w:rPr>
  </w:style>
  <w:style w:type="character" w:customStyle="1" w:styleId="Heading8Char">
    <w:name w:val="Heading 8 Char"/>
    <w:basedOn w:val="DefaultParagraphFont"/>
    <w:link w:val="Heading8"/>
    <w:uiPriority w:val="9"/>
    <w:semiHidden/>
    <w:rsid w:val="00F56D80"/>
    <w:rPr>
      <w:rFonts w:ascii="Calibri Light" w:eastAsiaTheme="majorEastAsia" w:hAnsi="Calibri Light" w:cstheme="majorBidi"/>
      <w:color w:val="404040"/>
    </w:rPr>
  </w:style>
  <w:style w:type="character" w:customStyle="1" w:styleId="Heading9Char">
    <w:name w:val="Heading 9 Char"/>
    <w:basedOn w:val="DefaultParagraphFont"/>
    <w:link w:val="Heading9"/>
    <w:uiPriority w:val="9"/>
    <w:semiHidden/>
    <w:rsid w:val="00F56D80"/>
    <w:rPr>
      <w:rFonts w:ascii="Calibri Light" w:eastAsiaTheme="majorEastAsia" w:hAnsi="Calibri Light" w:cstheme="majorBidi"/>
      <w:i/>
      <w:iCs/>
      <w:color w:val="404040"/>
    </w:rPr>
  </w:style>
  <w:style w:type="paragraph" w:customStyle="1" w:styleId="Published">
    <w:name w:val="Published"/>
    <w:basedOn w:val="Normal"/>
    <w:next w:val="Normal"/>
    <w:uiPriority w:val="2"/>
    <w:qFormat/>
    <w:rsid w:val="00F56D80"/>
    <w:pPr>
      <w:jc w:val="right"/>
    </w:pPr>
    <w:rPr>
      <w:i/>
      <w:iCs/>
    </w:rPr>
  </w:style>
  <w:style w:type="paragraph" w:customStyle="1" w:styleId="Comments">
    <w:name w:val="Comments"/>
    <w:basedOn w:val="Normal"/>
    <w:next w:val="Normal"/>
    <w:uiPriority w:val="2"/>
    <w:qFormat/>
    <w:rsid w:val="00F56D80"/>
    <w:pPr>
      <w:spacing w:before="60" w:after="60"/>
    </w:pPr>
    <w:rPr>
      <w:i/>
      <w:iCs/>
      <w:color w:val="00B050"/>
    </w:rPr>
  </w:style>
  <w:style w:type="paragraph" w:customStyle="1" w:styleId="Appendix2">
    <w:name w:val="Appendix 2"/>
    <w:basedOn w:val="Normal"/>
    <w:next w:val="Appendix3"/>
    <w:uiPriority w:val="4"/>
    <w:qFormat/>
    <w:rsid w:val="00F56D80"/>
    <w:pPr>
      <w:keepNext/>
      <w:keepLines/>
      <w:numPr>
        <w:ilvl w:val="1"/>
        <w:numId w:val="1"/>
      </w:numPr>
      <w:spacing w:before="480"/>
      <w:jc w:val="left"/>
      <w:outlineLvl w:val="1"/>
    </w:pPr>
    <w:rPr>
      <w:b/>
      <w:bCs/>
      <w:sz w:val="24"/>
      <w:szCs w:val="24"/>
      <w:u w:val="single"/>
    </w:rPr>
  </w:style>
  <w:style w:type="paragraph" w:customStyle="1" w:styleId="Appendix3">
    <w:name w:val="Appendix 3"/>
    <w:basedOn w:val="Normal"/>
    <w:next w:val="Appendix4"/>
    <w:uiPriority w:val="4"/>
    <w:qFormat/>
    <w:rsid w:val="00F56D80"/>
    <w:pPr>
      <w:keepNext/>
      <w:keepLines/>
      <w:numPr>
        <w:ilvl w:val="2"/>
        <w:numId w:val="1"/>
      </w:numPr>
      <w:spacing w:before="240"/>
      <w:jc w:val="left"/>
    </w:pPr>
  </w:style>
  <w:style w:type="paragraph" w:customStyle="1" w:styleId="Appendix4">
    <w:name w:val="Appendix 4"/>
    <w:basedOn w:val="Normal"/>
    <w:uiPriority w:val="4"/>
    <w:qFormat/>
    <w:rsid w:val="00F56D80"/>
    <w:pPr>
      <w:numPr>
        <w:ilvl w:val="3"/>
        <w:numId w:val="1"/>
      </w:numPr>
    </w:pPr>
  </w:style>
  <w:style w:type="paragraph" w:styleId="Header">
    <w:name w:val="header"/>
    <w:basedOn w:val="Normal"/>
    <w:link w:val="HeaderChar"/>
    <w:uiPriority w:val="99"/>
    <w:unhideWhenUsed/>
    <w:rsid w:val="00F56D80"/>
    <w:pPr>
      <w:tabs>
        <w:tab w:val="center" w:pos="4536"/>
        <w:tab w:val="right" w:pos="9072"/>
      </w:tabs>
      <w:spacing w:before="0" w:after="0" w:line="240" w:lineRule="auto"/>
    </w:pPr>
  </w:style>
  <w:style w:type="character" w:customStyle="1" w:styleId="HeaderChar">
    <w:name w:val="Header Char"/>
    <w:basedOn w:val="DefaultParagraphFont"/>
    <w:link w:val="Header"/>
    <w:uiPriority w:val="99"/>
    <w:rsid w:val="00F56D80"/>
    <w:rPr>
      <w:rFonts w:ascii="Open Sans" w:hAnsi="Open Sans"/>
    </w:rPr>
  </w:style>
  <w:style w:type="paragraph" w:customStyle="1" w:styleId="Article1">
    <w:name w:val="Article 1"/>
    <w:basedOn w:val="Normal"/>
    <w:next w:val="Article2"/>
    <w:link w:val="Article1Char"/>
    <w:uiPriority w:val="2"/>
    <w:qFormat/>
    <w:rsid w:val="00F56D80"/>
    <w:pPr>
      <w:keepNext/>
      <w:keepLines/>
      <w:numPr>
        <w:ilvl w:val="1"/>
        <w:numId w:val="5"/>
      </w:numPr>
      <w:spacing w:before="360"/>
      <w:jc w:val="left"/>
      <w:outlineLvl w:val="2"/>
    </w:pPr>
    <w:rPr>
      <w:b/>
      <w:bCs/>
      <w:sz w:val="22"/>
      <w:szCs w:val="22"/>
    </w:rPr>
  </w:style>
  <w:style w:type="character" w:customStyle="1" w:styleId="Article1Char">
    <w:name w:val="Article 1 Char"/>
    <w:basedOn w:val="DefaultParagraphFont"/>
    <w:link w:val="Article1"/>
    <w:uiPriority w:val="2"/>
    <w:rsid w:val="00F56D80"/>
    <w:rPr>
      <w:b/>
      <w:bCs/>
      <w:sz w:val="22"/>
      <w:szCs w:val="22"/>
    </w:rPr>
  </w:style>
  <w:style w:type="paragraph" w:customStyle="1" w:styleId="Article2">
    <w:name w:val="Article 2"/>
    <w:basedOn w:val="Normal"/>
    <w:uiPriority w:val="2"/>
    <w:qFormat/>
    <w:rsid w:val="00F56D80"/>
    <w:pPr>
      <w:numPr>
        <w:ilvl w:val="2"/>
        <w:numId w:val="5"/>
      </w:numPr>
    </w:pPr>
  </w:style>
  <w:style w:type="paragraph" w:customStyle="1" w:styleId="Article3">
    <w:name w:val="Article 3"/>
    <w:basedOn w:val="Normal"/>
    <w:uiPriority w:val="2"/>
    <w:qFormat/>
    <w:rsid w:val="00F56D80"/>
    <w:pPr>
      <w:numPr>
        <w:ilvl w:val="3"/>
        <w:numId w:val="5"/>
      </w:numPr>
      <w:spacing w:before="60"/>
    </w:pPr>
  </w:style>
  <w:style w:type="paragraph" w:customStyle="1" w:styleId="Article4">
    <w:name w:val="Article 4"/>
    <w:basedOn w:val="Normal"/>
    <w:uiPriority w:val="2"/>
    <w:qFormat/>
    <w:rsid w:val="00F56D80"/>
    <w:pPr>
      <w:numPr>
        <w:ilvl w:val="4"/>
        <w:numId w:val="5"/>
      </w:numPr>
      <w:spacing w:before="60"/>
    </w:pPr>
  </w:style>
  <w:style w:type="paragraph" w:customStyle="1" w:styleId="Appendix5">
    <w:name w:val="Appendix 5"/>
    <w:basedOn w:val="Normal"/>
    <w:uiPriority w:val="4"/>
    <w:qFormat/>
    <w:rsid w:val="00F56D80"/>
    <w:pPr>
      <w:numPr>
        <w:ilvl w:val="4"/>
        <w:numId w:val="1"/>
      </w:numPr>
      <w:spacing w:before="60"/>
    </w:pPr>
  </w:style>
  <w:style w:type="paragraph" w:customStyle="1" w:styleId="Offset">
    <w:name w:val="Offset"/>
    <w:basedOn w:val="Normal"/>
    <w:rsid w:val="00F56D80"/>
    <w:pPr>
      <w:spacing w:before="0"/>
      <w:ind w:left="567"/>
    </w:pPr>
  </w:style>
  <w:style w:type="paragraph" w:styleId="Index1">
    <w:name w:val="index 1"/>
    <w:basedOn w:val="Normal"/>
    <w:next w:val="Normal"/>
    <w:autoRedefine/>
    <w:uiPriority w:val="99"/>
    <w:semiHidden/>
    <w:unhideWhenUsed/>
    <w:pPr>
      <w:spacing w:before="0" w:after="0" w:line="240" w:lineRule="auto"/>
      <w:ind w:left="200" w:hanging="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660941">
      <w:bodyDiv w:val="1"/>
      <w:marLeft w:val="0"/>
      <w:marRight w:val="0"/>
      <w:marTop w:val="0"/>
      <w:marBottom w:val="0"/>
      <w:divBdr>
        <w:top w:val="none" w:sz="0" w:space="0" w:color="auto"/>
        <w:left w:val="none" w:sz="0" w:space="0" w:color="auto"/>
        <w:bottom w:val="none" w:sz="0" w:space="0" w:color="auto"/>
        <w:right w:val="none" w:sz="0" w:space="0" w:color="auto"/>
      </w:divBdr>
    </w:div>
    <w:div w:id="300037688">
      <w:bodyDiv w:val="1"/>
      <w:marLeft w:val="0"/>
      <w:marRight w:val="0"/>
      <w:marTop w:val="0"/>
      <w:marBottom w:val="0"/>
      <w:divBdr>
        <w:top w:val="none" w:sz="0" w:space="0" w:color="auto"/>
        <w:left w:val="none" w:sz="0" w:space="0" w:color="auto"/>
        <w:bottom w:val="none" w:sz="0" w:space="0" w:color="auto"/>
        <w:right w:val="none" w:sz="0" w:space="0" w:color="auto"/>
      </w:divBdr>
    </w:div>
    <w:div w:id="326595475">
      <w:bodyDiv w:val="1"/>
      <w:marLeft w:val="0"/>
      <w:marRight w:val="0"/>
      <w:marTop w:val="0"/>
      <w:marBottom w:val="0"/>
      <w:divBdr>
        <w:top w:val="none" w:sz="0" w:space="0" w:color="auto"/>
        <w:left w:val="none" w:sz="0" w:space="0" w:color="auto"/>
        <w:bottom w:val="none" w:sz="0" w:space="0" w:color="auto"/>
        <w:right w:val="none" w:sz="0" w:space="0" w:color="auto"/>
      </w:divBdr>
    </w:div>
    <w:div w:id="347799681">
      <w:bodyDiv w:val="1"/>
      <w:marLeft w:val="0"/>
      <w:marRight w:val="0"/>
      <w:marTop w:val="0"/>
      <w:marBottom w:val="0"/>
      <w:divBdr>
        <w:top w:val="none" w:sz="0" w:space="0" w:color="auto"/>
        <w:left w:val="none" w:sz="0" w:space="0" w:color="auto"/>
        <w:bottom w:val="none" w:sz="0" w:space="0" w:color="auto"/>
        <w:right w:val="none" w:sz="0" w:space="0" w:color="auto"/>
      </w:divBdr>
    </w:div>
    <w:div w:id="378021105">
      <w:bodyDiv w:val="1"/>
      <w:marLeft w:val="0"/>
      <w:marRight w:val="0"/>
      <w:marTop w:val="0"/>
      <w:marBottom w:val="0"/>
      <w:divBdr>
        <w:top w:val="none" w:sz="0" w:space="0" w:color="auto"/>
        <w:left w:val="none" w:sz="0" w:space="0" w:color="auto"/>
        <w:bottom w:val="none" w:sz="0" w:space="0" w:color="auto"/>
        <w:right w:val="none" w:sz="0" w:space="0" w:color="auto"/>
      </w:divBdr>
    </w:div>
    <w:div w:id="385642616">
      <w:bodyDiv w:val="1"/>
      <w:marLeft w:val="0"/>
      <w:marRight w:val="0"/>
      <w:marTop w:val="0"/>
      <w:marBottom w:val="0"/>
      <w:divBdr>
        <w:top w:val="none" w:sz="0" w:space="0" w:color="auto"/>
        <w:left w:val="none" w:sz="0" w:space="0" w:color="auto"/>
        <w:bottom w:val="none" w:sz="0" w:space="0" w:color="auto"/>
        <w:right w:val="none" w:sz="0" w:space="0" w:color="auto"/>
      </w:divBdr>
    </w:div>
    <w:div w:id="399518368">
      <w:bodyDiv w:val="1"/>
      <w:marLeft w:val="0"/>
      <w:marRight w:val="0"/>
      <w:marTop w:val="0"/>
      <w:marBottom w:val="0"/>
      <w:divBdr>
        <w:top w:val="none" w:sz="0" w:space="0" w:color="auto"/>
        <w:left w:val="none" w:sz="0" w:space="0" w:color="auto"/>
        <w:bottom w:val="none" w:sz="0" w:space="0" w:color="auto"/>
        <w:right w:val="none" w:sz="0" w:space="0" w:color="auto"/>
      </w:divBdr>
    </w:div>
    <w:div w:id="603345386">
      <w:bodyDiv w:val="1"/>
      <w:marLeft w:val="0"/>
      <w:marRight w:val="0"/>
      <w:marTop w:val="0"/>
      <w:marBottom w:val="0"/>
      <w:divBdr>
        <w:top w:val="none" w:sz="0" w:space="0" w:color="auto"/>
        <w:left w:val="none" w:sz="0" w:space="0" w:color="auto"/>
        <w:bottom w:val="none" w:sz="0" w:space="0" w:color="auto"/>
        <w:right w:val="none" w:sz="0" w:space="0" w:color="auto"/>
      </w:divBdr>
    </w:div>
    <w:div w:id="617638954">
      <w:bodyDiv w:val="1"/>
      <w:marLeft w:val="0"/>
      <w:marRight w:val="0"/>
      <w:marTop w:val="0"/>
      <w:marBottom w:val="0"/>
      <w:divBdr>
        <w:top w:val="none" w:sz="0" w:space="0" w:color="auto"/>
        <w:left w:val="none" w:sz="0" w:space="0" w:color="auto"/>
        <w:bottom w:val="none" w:sz="0" w:space="0" w:color="auto"/>
        <w:right w:val="none" w:sz="0" w:space="0" w:color="auto"/>
      </w:divBdr>
    </w:div>
    <w:div w:id="667248036">
      <w:bodyDiv w:val="1"/>
      <w:marLeft w:val="0"/>
      <w:marRight w:val="0"/>
      <w:marTop w:val="0"/>
      <w:marBottom w:val="0"/>
      <w:divBdr>
        <w:top w:val="none" w:sz="0" w:space="0" w:color="auto"/>
        <w:left w:val="none" w:sz="0" w:space="0" w:color="auto"/>
        <w:bottom w:val="none" w:sz="0" w:space="0" w:color="auto"/>
        <w:right w:val="none" w:sz="0" w:space="0" w:color="auto"/>
      </w:divBdr>
    </w:div>
    <w:div w:id="738017486">
      <w:bodyDiv w:val="1"/>
      <w:marLeft w:val="0"/>
      <w:marRight w:val="0"/>
      <w:marTop w:val="0"/>
      <w:marBottom w:val="0"/>
      <w:divBdr>
        <w:top w:val="none" w:sz="0" w:space="0" w:color="auto"/>
        <w:left w:val="none" w:sz="0" w:space="0" w:color="auto"/>
        <w:bottom w:val="none" w:sz="0" w:space="0" w:color="auto"/>
        <w:right w:val="none" w:sz="0" w:space="0" w:color="auto"/>
      </w:divBdr>
    </w:div>
    <w:div w:id="874539757">
      <w:bodyDiv w:val="1"/>
      <w:marLeft w:val="0"/>
      <w:marRight w:val="0"/>
      <w:marTop w:val="0"/>
      <w:marBottom w:val="0"/>
      <w:divBdr>
        <w:top w:val="none" w:sz="0" w:space="0" w:color="auto"/>
        <w:left w:val="none" w:sz="0" w:space="0" w:color="auto"/>
        <w:bottom w:val="none" w:sz="0" w:space="0" w:color="auto"/>
        <w:right w:val="none" w:sz="0" w:space="0" w:color="auto"/>
      </w:divBdr>
    </w:div>
    <w:div w:id="885337834">
      <w:bodyDiv w:val="1"/>
      <w:marLeft w:val="0"/>
      <w:marRight w:val="0"/>
      <w:marTop w:val="0"/>
      <w:marBottom w:val="0"/>
      <w:divBdr>
        <w:top w:val="none" w:sz="0" w:space="0" w:color="auto"/>
        <w:left w:val="none" w:sz="0" w:space="0" w:color="auto"/>
        <w:bottom w:val="none" w:sz="0" w:space="0" w:color="auto"/>
        <w:right w:val="none" w:sz="0" w:space="0" w:color="auto"/>
      </w:divBdr>
    </w:div>
    <w:div w:id="909580258">
      <w:bodyDiv w:val="1"/>
      <w:marLeft w:val="0"/>
      <w:marRight w:val="0"/>
      <w:marTop w:val="0"/>
      <w:marBottom w:val="0"/>
      <w:divBdr>
        <w:top w:val="none" w:sz="0" w:space="0" w:color="auto"/>
        <w:left w:val="none" w:sz="0" w:space="0" w:color="auto"/>
        <w:bottom w:val="none" w:sz="0" w:space="0" w:color="auto"/>
        <w:right w:val="none" w:sz="0" w:space="0" w:color="auto"/>
      </w:divBdr>
    </w:div>
    <w:div w:id="969017250">
      <w:bodyDiv w:val="1"/>
      <w:marLeft w:val="0"/>
      <w:marRight w:val="0"/>
      <w:marTop w:val="0"/>
      <w:marBottom w:val="0"/>
      <w:divBdr>
        <w:top w:val="none" w:sz="0" w:space="0" w:color="auto"/>
        <w:left w:val="none" w:sz="0" w:space="0" w:color="auto"/>
        <w:bottom w:val="none" w:sz="0" w:space="0" w:color="auto"/>
        <w:right w:val="none" w:sz="0" w:space="0" w:color="auto"/>
      </w:divBdr>
    </w:div>
    <w:div w:id="990794074">
      <w:bodyDiv w:val="1"/>
      <w:marLeft w:val="0"/>
      <w:marRight w:val="0"/>
      <w:marTop w:val="0"/>
      <w:marBottom w:val="0"/>
      <w:divBdr>
        <w:top w:val="none" w:sz="0" w:space="0" w:color="auto"/>
        <w:left w:val="none" w:sz="0" w:space="0" w:color="auto"/>
        <w:bottom w:val="none" w:sz="0" w:space="0" w:color="auto"/>
        <w:right w:val="none" w:sz="0" w:space="0" w:color="auto"/>
      </w:divBdr>
    </w:div>
    <w:div w:id="1050692141">
      <w:bodyDiv w:val="1"/>
      <w:marLeft w:val="0"/>
      <w:marRight w:val="0"/>
      <w:marTop w:val="0"/>
      <w:marBottom w:val="0"/>
      <w:divBdr>
        <w:top w:val="none" w:sz="0" w:space="0" w:color="auto"/>
        <w:left w:val="none" w:sz="0" w:space="0" w:color="auto"/>
        <w:bottom w:val="none" w:sz="0" w:space="0" w:color="auto"/>
        <w:right w:val="none" w:sz="0" w:space="0" w:color="auto"/>
      </w:divBdr>
    </w:div>
    <w:div w:id="1116757504">
      <w:bodyDiv w:val="1"/>
      <w:marLeft w:val="0"/>
      <w:marRight w:val="0"/>
      <w:marTop w:val="0"/>
      <w:marBottom w:val="0"/>
      <w:divBdr>
        <w:top w:val="none" w:sz="0" w:space="0" w:color="auto"/>
        <w:left w:val="none" w:sz="0" w:space="0" w:color="auto"/>
        <w:bottom w:val="none" w:sz="0" w:space="0" w:color="auto"/>
        <w:right w:val="none" w:sz="0" w:space="0" w:color="auto"/>
      </w:divBdr>
    </w:div>
    <w:div w:id="1224875108">
      <w:bodyDiv w:val="1"/>
      <w:marLeft w:val="0"/>
      <w:marRight w:val="0"/>
      <w:marTop w:val="0"/>
      <w:marBottom w:val="0"/>
      <w:divBdr>
        <w:top w:val="none" w:sz="0" w:space="0" w:color="auto"/>
        <w:left w:val="none" w:sz="0" w:space="0" w:color="auto"/>
        <w:bottom w:val="none" w:sz="0" w:space="0" w:color="auto"/>
        <w:right w:val="none" w:sz="0" w:space="0" w:color="auto"/>
      </w:divBdr>
    </w:div>
    <w:div w:id="1228959545">
      <w:bodyDiv w:val="1"/>
      <w:marLeft w:val="0"/>
      <w:marRight w:val="0"/>
      <w:marTop w:val="0"/>
      <w:marBottom w:val="0"/>
      <w:divBdr>
        <w:top w:val="none" w:sz="0" w:space="0" w:color="auto"/>
        <w:left w:val="none" w:sz="0" w:space="0" w:color="auto"/>
        <w:bottom w:val="none" w:sz="0" w:space="0" w:color="auto"/>
        <w:right w:val="none" w:sz="0" w:space="0" w:color="auto"/>
      </w:divBdr>
    </w:div>
    <w:div w:id="1250502015">
      <w:bodyDiv w:val="1"/>
      <w:marLeft w:val="0"/>
      <w:marRight w:val="0"/>
      <w:marTop w:val="0"/>
      <w:marBottom w:val="0"/>
      <w:divBdr>
        <w:top w:val="none" w:sz="0" w:space="0" w:color="auto"/>
        <w:left w:val="none" w:sz="0" w:space="0" w:color="auto"/>
        <w:bottom w:val="none" w:sz="0" w:space="0" w:color="auto"/>
        <w:right w:val="none" w:sz="0" w:space="0" w:color="auto"/>
      </w:divBdr>
    </w:div>
    <w:div w:id="1387415300">
      <w:bodyDiv w:val="1"/>
      <w:marLeft w:val="0"/>
      <w:marRight w:val="0"/>
      <w:marTop w:val="0"/>
      <w:marBottom w:val="0"/>
      <w:divBdr>
        <w:top w:val="none" w:sz="0" w:space="0" w:color="auto"/>
        <w:left w:val="none" w:sz="0" w:space="0" w:color="auto"/>
        <w:bottom w:val="none" w:sz="0" w:space="0" w:color="auto"/>
        <w:right w:val="none" w:sz="0" w:space="0" w:color="auto"/>
      </w:divBdr>
    </w:div>
    <w:div w:id="1529640037">
      <w:bodyDiv w:val="1"/>
      <w:marLeft w:val="0"/>
      <w:marRight w:val="0"/>
      <w:marTop w:val="0"/>
      <w:marBottom w:val="0"/>
      <w:divBdr>
        <w:top w:val="none" w:sz="0" w:space="0" w:color="auto"/>
        <w:left w:val="none" w:sz="0" w:space="0" w:color="auto"/>
        <w:bottom w:val="none" w:sz="0" w:space="0" w:color="auto"/>
        <w:right w:val="none" w:sz="0" w:space="0" w:color="auto"/>
      </w:divBdr>
    </w:div>
    <w:div w:id="1544364187">
      <w:bodyDiv w:val="1"/>
      <w:marLeft w:val="0"/>
      <w:marRight w:val="0"/>
      <w:marTop w:val="0"/>
      <w:marBottom w:val="0"/>
      <w:divBdr>
        <w:top w:val="none" w:sz="0" w:space="0" w:color="auto"/>
        <w:left w:val="none" w:sz="0" w:space="0" w:color="auto"/>
        <w:bottom w:val="none" w:sz="0" w:space="0" w:color="auto"/>
        <w:right w:val="none" w:sz="0" w:space="0" w:color="auto"/>
      </w:divBdr>
    </w:div>
    <w:div w:id="1648167788">
      <w:bodyDiv w:val="1"/>
      <w:marLeft w:val="0"/>
      <w:marRight w:val="0"/>
      <w:marTop w:val="0"/>
      <w:marBottom w:val="0"/>
      <w:divBdr>
        <w:top w:val="none" w:sz="0" w:space="0" w:color="auto"/>
        <w:left w:val="none" w:sz="0" w:space="0" w:color="auto"/>
        <w:bottom w:val="none" w:sz="0" w:space="0" w:color="auto"/>
        <w:right w:val="none" w:sz="0" w:space="0" w:color="auto"/>
      </w:divBdr>
    </w:div>
    <w:div w:id="1652829333">
      <w:bodyDiv w:val="1"/>
      <w:marLeft w:val="0"/>
      <w:marRight w:val="0"/>
      <w:marTop w:val="0"/>
      <w:marBottom w:val="0"/>
      <w:divBdr>
        <w:top w:val="none" w:sz="0" w:space="0" w:color="auto"/>
        <w:left w:val="none" w:sz="0" w:space="0" w:color="auto"/>
        <w:bottom w:val="none" w:sz="0" w:space="0" w:color="auto"/>
        <w:right w:val="none" w:sz="0" w:space="0" w:color="auto"/>
      </w:divBdr>
    </w:div>
    <w:div w:id="1669480480">
      <w:bodyDiv w:val="1"/>
      <w:marLeft w:val="0"/>
      <w:marRight w:val="0"/>
      <w:marTop w:val="0"/>
      <w:marBottom w:val="0"/>
      <w:divBdr>
        <w:top w:val="none" w:sz="0" w:space="0" w:color="auto"/>
        <w:left w:val="none" w:sz="0" w:space="0" w:color="auto"/>
        <w:bottom w:val="none" w:sz="0" w:space="0" w:color="auto"/>
        <w:right w:val="none" w:sz="0" w:space="0" w:color="auto"/>
      </w:divBdr>
      <w:divsChild>
        <w:div w:id="1861240797">
          <w:marLeft w:val="0"/>
          <w:marRight w:val="0"/>
          <w:marTop w:val="0"/>
          <w:marBottom w:val="0"/>
          <w:divBdr>
            <w:top w:val="none" w:sz="0" w:space="0" w:color="auto"/>
            <w:left w:val="none" w:sz="0" w:space="0" w:color="auto"/>
            <w:bottom w:val="none" w:sz="0" w:space="0" w:color="auto"/>
            <w:right w:val="none" w:sz="0" w:space="0" w:color="auto"/>
          </w:divBdr>
        </w:div>
        <w:div w:id="371154188">
          <w:marLeft w:val="0"/>
          <w:marRight w:val="0"/>
          <w:marTop w:val="0"/>
          <w:marBottom w:val="0"/>
          <w:divBdr>
            <w:top w:val="none" w:sz="0" w:space="0" w:color="auto"/>
            <w:left w:val="none" w:sz="0" w:space="0" w:color="auto"/>
            <w:bottom w:val="none" w:sz="0" w:space="0" w:color="auto"/>
            <w:right w:val="none" w:sz="0" w:space="0" w:color="auto"/>
          </w:divBdr>
        </w:div>
        <w:div w:id="988096968">
          <w:marLeft w:val="0"/>
          <w:marRight w:val="0"/>
          <w:marTop w:val="0"/>
          <w:marBottom w:val="0"/>
          <w:divBdr>
            <w:top w:val="none" w:sz="0" w:space="0" w:color="auto"/>
            <w:left w:val="none" w:sz="0" w:space="0" w:color="auto"/>
            <w:bottom w:val="none" w:sz="0" w:space="0" w:color="auto"/>
            <w:right w:val="none" w:sz="0" w:space="0" w:color="auto"/>
          </w:divBdr>
        </w:div>
        <w:div w:id="1595557006">
          <w:marLeft w:val="0"/>
          <w:marRight w:val="0"/>
          <w:marTop w:val="0"/>
          <w:marBottom w:val="0"/>
          <w:divBdr>
            <w:top w:val="none" w:sz="0" w:space="0" w:color="auto"/>
            <w:left w:val="none" w:sz="0" w:space="0" w:color="auto"/>
            <w:bottom w:val="none" w:sz="0" w:space="0" w:color="auto"/>
            <w:right w:val="none" w:sz="0" w:space="0" w:color="auto"/>
          </w:divBdr>
        </w:div>
        <w:div w:id="112792963">
          <w:marLeft w:val="0"/>
          <w:marRight w:val="0"/>
          <w:marTop w:val="0"/>
          <w:marBottom w:val="0"/>
          <w:divBdr>
            <w:top w:val="none" w:sz="0" w:space="0" w:color="auto"/>
            <w:left w:val="none" w:sz="0" w:space="0" w:color="auto"/>
            <w:bottom w:val="none" w:sz="0" w:space="0" w:color="auto"/>
            <w:right w:val="none" w:sz="0" w:space="0" w:color="auto"/>
          </w:divBdr>
        </w:div>
        <w:div w:id="1057166593">
          <w:marLeft w:val="0"/>
          <w:marRight w:val="0"/>
          <w:marTop w:val="0"/>
          <w:marBottom w:val="0"/>
          <w:divBdr>
            <w:top w:val="none" w:sz="0" w:space="0" w:color="auto"/>
            <w:left w:val="none" w:sz="0" w:space="0" w:color="auto"/>
            <w:bottom w:val="none" w:sz="0" w:space="0" w:color="auto"/>
            <w:right w:val="none" w:sz="0" w:space="0" w:color="auto"/>
          </w:divBdr>
        </w:div>
      </w:divsChild>
    </w:div>
    <w:div w:id="1772970491">
      <w:bodyDiv w:val="1"/>
      <w:marLeft w:val="0"/>
      <w:marRight w:val="0"/>
      <w:marTop w:val="0"/>
      <w:marBottom w:val="0"/>
      <w:divBdr>
        <w:top w:val="none" w:sz="0" w:space="0" w:color="auto"/>
        <w:left w:val="none" w:sz="0" w:space="0" w:color="auto"/>
        <w:bottom w:val="none" w:sz="0" w:space="0" w:color="auto"/>
        <w:right w:val="none" w:sz="0" w:space="0" w:color="auto"/>
      </w:divBdr>
    </w:div>
    <w:div w:id="1906531691">
      <w:bodyDiv w:val="1"/>
      <w:marLeft w:val="0"/>
      <w:marRight w:val="0"/>
      <w:marTop w:val="0"/>
      <w:marBottom w:val="0"/>
      <w:divBdr>
        <w:top w:val="none" w:sz="0" w:space="0" w:color="auto"/>
        <w:left w:val="none" w:sz="0" w:space="0" w:color="auto"/>
        <w:bottom w:val="none" w:sz="0" w:space="0" w:color="auto"/>
        <w:right w:val="none" w:sz="0" w:space="0" w:color="auto"/>
      </w:divBdr>
    </w:div>
    <w:div w:id="1968582500">
      <w:bodyDiv w:val="1"/>
      <w:marLeft w:val="0"/>
      <w:marRight w:val="0"/>
      <w:marTop w:val="0"/>
      <w:marBottom w:val="0"/>
      <w:divBdr>
        <w:top w:val="none" w:sz="0" w:space="0" w:color="auto"/>
        <w:left w:val="none" w:sz="0" w:space="0" w:color="auto"/>
        <w:bottom w:val="none" w:sz="0" w:space="0" w:color="auto"/>
        <w:right w:val="none" w:sz="0" w:space="0" w:color="auto"/>
      </w:divBdr>
    </w:div>
    <w:div w:id="1975865272">
      <w:bodyDiv w:val="1"/>
      <w:marLeft w:val="0"/>
      <w:marRight w:val="0"/>
      <w:marTop w:val="0"/>
      <w:marBottom w:val="0"/>
      <w:divBdr>
        <w:top w:val="none" w:sz="0" w:space="0" w:color="auto"/>
        <w:left w:val="none" w:sz="0" w:space="0" w:color="auto"/>
        <w:bottom w:val="none" w:sz="0" w:space="0" w:color="auto"/>
        <w:right w:val="none" w:sz="0" w:space="0" w:color="auto"/>
      </w:divBdr>
    </w:div>
    <w:div w:id="1976596504">
      <w:bodyDiv w:val="1"/>
      <w:marLeft w:val="0"/>
      <w:marRight w:val="0"/>
      <w:marTop w:val="0"/>
      <w:marBottom w:val="0"/>
      <w:divBdr>
        <w:top w:val="none" w:sz="0" w:space="0" w:color="auto"/>
        <w:left w:val="none" w:sz="0" w:space="0" w:color="auto"/>
        <w:bottom w:val="none" w:sz="0" w:space="0" w:color="auto"/>
        <w:right w:val="none" w:sz="0" w:space="0" w:color="auto"/>
      </w:divBdr>
    </w:div>
    <w:div w:id="2045711613">
      <w:bodyDiv w:val="1"/>
      <w:marLeft w:val="0"/>
      <w:marRight w:val="0"/>
      <w:marTop w:val="0"/>
      <w:marBottom w:val="0"/>
      <w:divBdr>
        <w:top w:val="none" w:sz="0" w:space="0" w:color="auto"/>
        <w:left w:val="none" w:sz="0" w:space="0" w:color="auto"/>
        <w:bottom w:val="none" w:sz="0" w:space="0" w:color="auto"/>
        <w:right w:val="none" w:sz="0" w:space="0" w:color="auto"/>
      </w:divBdr>
    </w:div>
    <w:div w:id="2065981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lexup.or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flexup.or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www.flexup.org/gloss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4597</Words>
  <Characters>26209</Characters>
  <Application>Microsoft Office Word</Application>
  <DocSecurity>0</DocSecurity>
  <Lines>218</Lines>
  <Paragraphs>61</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
  <LinksUpToDate>false</LinksUpToDate>
  <CharactersWithSpaces>30745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
  <cp:revision>2</cp:revision>
  <dcterms:created xsi:type="dcterms:W3CDTF">2026-03-08T20:06:00Z</dcterms:created>
  <dcterms:modified xsi:type="dcterms:W3CDTF">2026-03-08T20:06:00Z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ies>
</file>