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3864"/>
          <w:sz w:val="26"/>
          <w:szCs w:val="26"/>
        </w:rPr>
        <w:t xml:space="preserve">ECO2BIZ — Plataforma de gestión ambiental</w:t>
      </w:r>
    </w:p>
    <w:p>
      <w:pPr>
        <w:spacing w:after="40"/>
        <w:jc w:val="center"/>
      </w:pPr>
      <w:r>
        <w:rPr>
          <w:b/>
          <w:bCs/>
          <w:sz w:val="44"/>
          <w:szCs w:val="44"/>
        </w:rPr>
        <w:t xml:space="preserve">Especificación funcional</w:t>
      </w:r>
    </w:p>
    <w:p>
      <w:pPr>
        <w:spacing w:after="400"/>
        <w:jc w:val="center"/>
      </w:pPr>
      <w:r>
        <w:rPr>
          <w:color w:val="5F5E5A"/>
          <w:sz w:val="22"/>
          <w:szCs w:val="22"/>
        </w:rPr>
        <w:t xml:space="preserve">Módulo de integración de monitoreo geotécnico de relaveras — Cliente: Volcán Compañía Minera</w:t>
      </w:r>
    </w:p>
    <w:p>
      <w:pPr>
        <w:spacing w:after="40"/>
        <w:jc w:val="center"/>
      </w:pPr>
      <w:r>
        <w:rPr>
          <w:color w:val="5F5E5A"/>
          <w:sz w:val="20"/>
          <w:szCs w:val="20"/>
        </w:rPr>
        <w:t xml:space="preserve">Versión 1.0 · Agosto 2026</w:t>
      </w:r>
    </w:p>
    <w:p>
      <w:r>
        <w:br w:type="page"/>
      </w:r>
    </w:p>
    <w:p>
      <w:pPr>
        <w:pStyle w:val="Heading1"/>
        <w:spacing w:after="160" w:before="320"/>
      </w:pPr>
      <w:r>
        <w:t xml:space="preserve">1. Objetivo</w:t>
      </w:r>
    </w:p>
    <w:p>
      <w:pPr>
        <w:spacing w:after="120"/>
      </w:pPr>
      <w:r>
        <w:t xml:space="preserve">Integrar en ECO2BIZ los instrumentos de monitoreo geotécnico instalados en las relaveras de Volcán (piezómetros Casagrande y de cuerda vibrante, inclinómetros multi-profundidad, acelerógrafos, InSAR y celdas de asentamiento), consolidando en una sola plataforma la telemetría en tiempo real actualmente vigente junto con el análisis histórico ya realizado, de modo que la gestión de seguridad de presas y el cumplimiento ambiental cuenten con una fuente única de verdad.</w:t>
      </w:r>
    </w:p>
    <w:p>
      <w:pPr>
        <w:pStyle w:val="Heading1"/>
        <w:spacing w:after="160" w:before="320"/>
      </w:pPr>
      <w:r>
        <w:t xml:space="preserve">2. Alcance</w:t>
      </w:r>
    </w:p>
    <w:p>
      <w:pPr>
        <w:pStyle w:val="Heading2"/>
        <w:spacing w:after="120" w:before="260"/>
      </w:pPr>
      <w:r>
        <w:t xml:space="preserve">2.1 Incluye</w:t>
      </w:r>
    </w:p>
    <w:p>
      <w:pPr>
        <w:pStyle w:val="ListParagraph"/>
        <w:numPr>
          <w:ilvl w:val="0"/>
          <w:numId w:val="2"/>
        </w:numPr>
        <w:spacing w:after="60"/>
      </w:pPr>
      <w:r>
        <w:t xml:space="preserve">Conexión con el sistema de telemetría vigente para la ingesta automática de lecturas en tiempo real.</w:t>
      </w:r>
    </w:p>
    <w:p>
      <w:pPr>
        <w:pStyle w:val="ListParagraph"/>
        <w:numPr>
          <w:ilvl w:val="0"/>
          <w:numId w:val="2"/>
        </w:numPr>
        <w:spacing w:after="60"/>
      </w:pPr>
      <w:r>
        <w:t xml:space="preserve">Carga y consolidación de la data histórica y de los análisis geotécnicos ya elaborados, como línea base.</w:t>
      </w:r>
    </w:p>
    <w:p>
      <w:pPr>
        <w:pStyle w:val="ListParagraph"/>
        <w:numPr>
          <w:ilvl w:val="0"/>
          <w:numId w:val="2"/>
        </w:numPr>
        <w:spacing w:after="60"/>
      </w:pPr>
      <w:r>
        <w:t xml:space="preserve">Normalización de los datos de los cinco tipos de instrumento a un modelo de datos único.</w:t>
      </w:r>
    </w:p>
    <w:p>
      <w:pPr>
        <w:pStyle w:val="ListParagraph"/>
        <w:numPr>
          <w:ilvl w:val="0"/>
          <w:numId w:val="2"/>
        </w:numPr>
        <w:spacing w:after="60"/>
      </w:pPr>
      <w:r>
        <w:t xml:space="preserve">Configuración de umbrales de atención, alerta, alarma y emergencia por instrumento y por relavera.</w:t>
      </w:r>
    </w:p>
    <w:p>
      <w:pPr>
        <w:pStyle w:val="ListParagraph"/>
        <w:numPr>
          <w:ilvl w:val="0"/>
          <w:numId w:val="2"/>
        </w:numPr>
        <w:spacing w:after="60"/>
      </w:pPr>
      <w:r>
        <w:t xml:space="preserve">Notificaciones automáticas a los responsables de seguridad de presas.</w:t>
      </w:r>
    </w:p>
    <w:p>
      <w:pPr>
        <w:pStyle w:val="ListParagraph"/>
        <w:numPr>
          <w:ilvl w:val="0"/>
          <w:numId w:val="2"/>
        </w:numPr>
        <w:spacing w:after="60"/>
      </w:pPr>
      <w:r>
        <w:t xml:space="preserve">Visualización de series de tiempo, secciones instrumentadas y capa de deformación superficial (InSAR).</w:t>
      </w:r>
    </w:p>
    <w:p>
      <w:pPr>
        <w:pStyle w:val="ListParagraph"/>
        <w:numPr>
          <w:ilvl w:val="0"/>
          <w:numId w:val="2"/>
        </w:numPr>
        <w:spacing w:after="60"/>
      </w:pPr>
      <w:r>
        <w:t xml:space="preserve">Reportería periódica para autoridades (ANA, OEFA) y auditorías internas.</w:t>
      </w:r>
    </w:p>
    <w:p>
      <w:pPr>
        <w:pStyle w:val="Heading2"/>
        <w:spacing w:after="120" w:before="260"/>
      </w:pPr>
      <w:r>
        <w:t xml:space="preserve">2.2 No incluye (fuera de alcance en esta fase)</w:t>
      </w:r>
    </w:p>
    <w:p>
      <w:pPr>
        <w:pStyle w:val="ListParagraph"/>
        <w:numPr>
          <w:ilvl w:val="0"/>
          <w:numId w:val="2"/>
        </w:numPr>
        <w:spacing w:after="60"/>
      </w:pPr>
      <w:r>
        <w:t xml:space="preserve">Reemplazo de los sensores de campo o del sistema de telemetría actual.</w:t>
      </w:r>
    </w:p>
    <w:p>
      <w:pPr>
        <w:pStyle w:val="ListParagraph"/>
        <w:numPr>
          <w:ilvl w:val="0"/>
          <w:numId w:val="2"/>
        </w:numPr>
        <w:spacing w:after="60"/>
      </w:pPr>
      <w:r>
        <w:t xml:space="preserve">Modelamiento numérico de estabilidad de taludes (FEM/LEM); ECO2BIZ consume resultados, no los calcula.</w:t>
      </w:r>
    </w:p>
    <w:p>
      <w:pPr>
        <w:pStyle w:val="ListParagraph"/>
        <w:numPr>
          <w:ilvl w:val="0"/>
          <w:numId w:val="2"/>
        </w:numPr>
        <w:spacing w:after="60"/>
      </w:pPr>
      <w:r>
        <w:t xml:space="preserve">Automatización de acciones de campo (válvulas, bombeo) a partir de las alertas.</w:t>
      </w:r>
    </w:p>
    <w:p>
      <w:pPr>
        <w:pStyle w:val="Heading1"/>
        <w:spacing w:after="160" w:before="320"/>
      </w:pPr>
      <w:r>
        <w:t xml:space="preserve">3. Arquitectura de integración (resumen funcional)</w:t>
      </w:r>
    </w:p>
    <w:p>
      <w:pPr>
        <w:spacing w:after="120"/>
      </w:pPr>
      <w:r>
        <w:t xml:space="preserve">La integración se plantea en tres capas:</w:t>
      </w:r>
    </w:p>
    <w:p>
      <w:pPr>
        <w:pStyle w:val="ListParagraph"/>
        <w:numPr>
          <w:ilvl w:val="0"/>
          <w:numId w:val="2"/>
        </w:numPr>
        <w:spacing w:after="60"/>
      </w:pPr>
      <w:r>
        <w:t xml:space="preserve">Capa de ingesta: conector hacia el sistema de telemetría vigente (API/MQTT) más un cargador de archivos para la data histórica y los análisis previos.</w:t>
      </w:r>
    </w:p>
    <w:p>
      <w:pPr>
        <w:pStyle w:val="ListParagraph"/>
        <w:numPr>
          <w:ilvl w:val="0"/>
          <w:numId w:val="2"/>
        </w:numPr>
        <w:spacing w:after="60"/>
      </w:pPr>
      <w:r>
        <w:t xml:space="preserve">Capa de normalización: motor que traduce cada formato de instrumento al modelo de datos común de ECO2BIZ (instrumento, ubicación, profundidad, valor, unidad, calidad del dato, timestamp).</w:t>
      </w:r>
    </w:p>
    <w:p>
      <w:pPr>
        <w:pStyle w:val="ListParagraph"/>
        <w:numPr>
          <w:ilvl w:val="0"/>
          <w:numId w:val="2"/>
        </w:numPr>
        <w:spacing w:after="60"/>
      </w:pPr>
      <w:r>
        <w:t xml:space="preserve">Capa de presentación: dashboard, motor de umbrales/alertas y reportería, tal como se ilustra en el mockup de la plataforma.</w:t>
      </w:r>
    </w:p>
    <w:p>
      <w:pPr>
        <w:pStyle w:val="Heading1"/>
        <w:spacing w:after="160" w:before="320"/>
      </w:pPr>
      <w:r>
        <w:t xml:space="preserve">4. Requerimientos funcionales por módulo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900"/>
      </w:tblGrid>
      <w:tr>
        <w:trPr>
          <w:tblHeader/>
        </w:trPr>
        <w:tc>
          <w:tcPr>
            <w:tcW w:type="dxa" w:w="900"/>
            <w:shd w:fill="1F3864" w:val="clear"/>
            <w:tcMar>
              <w:top w:type="dxa" w:w="80"/>
              <w:left w:type="dxa" w:w="100"/>
              <w:bottom w:type="dxa" w:w="80"/>
              <w:right w:type="dxa" w:w="100"/>
            </w:tcMar>
          </w:tcPr>
          <w:p>
            <w:pPr>
              <w:jc w:val="left"/>
            </w:pPr>
            <w:r>
              <w:rPr>
                <w:b/>
                <w:bCs/>
                <w:color w:val="FFFFFF"/>
                <w:sz w:val="19"/>
                <w:szCs w:val="19"/>
              </w:rPr>
              <w:t xml:space="preserve">ID</w:t>
            </w:r>
          </w:p>
        </w:tc>
        <w:tc>
          <w:tcPr>
            <w:tcW w:type="dxa" w:w="2600"/>
            <w:shd w:fill="1F3864" w:val="clear"/>
            <w:tcMar>
              <w:top w:type="dxa" w:w="80"/>
              <w:left w:type="dxa" w:w="100"/>
              <w:bottom w:type="dxa" w:w="80"/>
              <w:right w:type="dxa" w:w="100"/>
            </w:tcMar>
          </w:tcPr>
          <w:p>
            <w:pPr>
              <w:jc w:val="left"/>
            </w:pPr>
            <w:r>
              <w:rPr>
                <w:b/>
                <w:bCs/>
                <w:color w:val="FFFFFF"/>
                <w:sz w:val="19"/>
                <w:szCs w:val="19"/>
              </w:rPr>
              <w:t xml:space="preserve">Módulo</w:t>
            </w:r>
          </w:p>
        </w:tc>
        <w:tc>
          <w:tcPr>
            <w:tcW w:type="dxa" w:w="6900"/>
            <w:shd w:fill="1F3864" w:val="clear"/>
            <w:tcMar>
              <w:top w:type="dxa" w:w="80"/>
              <w:left w:type="dxa" w:w="100"/>
              <w:bottom w:type="dxa" w:w="80"/>
              <w:right w:type="dxa" w:w="100"/>
            </w:tcMar>
          </w:tcPr>
          <w:p>
            <w:pPr>
              <w:jc w:val="left"/>
            </w:pPr>
            <w:r>
              <w:rPr>
                <w:b/>
                <w:bCs/>
                <w:color w:val="FFFFFF"/>
                <w:sz w:val="19"/>
                <w:szCs w:val="19"/>
              </w:rPr>
              <w:t xml:space="preserve">Descripción funcional</w:t>
            </w:r>
          </w:p>
        </w:tc>
      </w:tr>
      <w:tr>
        <w:tc>
          <w:tcPr>
            <w:tcW w:type="dxa" w:w="900"/>
            <w:tcMar>
              <w:top w:type="dxa" w:w="80"/>
              <w:left w:type="dxa" w:w="100"/>
              <w:bottom w:type="dxa" w:w="80"/>
              <w:right w:type="dxa" w:w="100"/>
            </w:tcMar>
          </w:tcPr>
          <w:p>
            <w:pPr>
              <w:jc w:val="left"/>
            </w:pPr>
            <w:r>
              <w:rPr>
                <w:b w:val="false"/>
                <w:bCs w:val="false"/>
                <w:sz w:val="19"/>
                <w:szCs w:val="19"/>
              </w:rPr>
              <w:t xml:space="preserve">RF-01</w:t>
            </w:r>
          </w:p>
        </w:tc>
        <w:tc>
          <w:tcPr>
            <w:tcW w:type="dxa" w:w="2600"/>
            <w:tcMar>
              <w:top w:type="dxa" w:w="80"/>
              <w:left w:type="dxa" w:w="100"/>
              <w:bottom w:type="dxa" w:w="80"/>
              <w:right w:type="dxa" w:w="100"/>
            </w:tcMar>
          </w:tcPr>
          <w:p>
            <w:pPr>
              <w:jc w:val="left"/>
            </w:pPr>
            <w:r>
              <w:rPr>
                <w:b w:val="false"/>
                <w:bCs w:val="false"/>
                <w:sz w:val="19"/>
                <w:szCs w:val="19"/>
              </w:rPr>
              <w:t xml:space="preserve">Ingesta y conectividad</w:t>
            </w:r>
          </w:p>
        </w:tc>
        <w:tc>
          <w:tcPr>
            <w:tcW w:type="dxa" w:w="6900"/>
            <w:tcMar>
              <w:top w:type="dxa" w:w="80"/>
              <w:left w:type="dxa" w:w="100"/>
              <w:bottom w:type="dxa" w:w="80"/>
              <w:right w:type="dxa" w:w="100"/>
            </w:tcMar>
          </w:tcPr>
          <w:p>
            <w:pPr>
              <w:jc w:val="left"/>
            </w:pPr>
            <w:r>
              <w:rPr>
                <w:b w:val="false"/>
                <w:bCs w:val="false"/>
                <w:sz w:val="19"/>
                <w:szCs w:val="19"/>
              </w:rPr>
              <w:t xml:space="preserve">Conector con el sistema de telemetría vigente; normalización a un esquema único de datos; frecuencia de sincronización configurable por tipo de instrumento.</w:t>
            </w:r>
          </w:p>
        </w:tc>
      </w:tr>
      <w:tr>
        <w:tc>
          <w:tcPr>
            <w:tcW w:type="dxa" w:w="900"/>
            <w:tcMar>
              <w:top w:type="dxa" w:w="80"/>
              <w:left w:type="dxa" w:w="100"/>
              <w:bottom w:type="dxa" w:w="80"/>
              <w:right w:type="dxa" w:w="100"/>
            </w:tcMar>
          </w:tcPr>
          <w:p>
            <w:pPr>
              <w:jc w:val="left"/>
            </w:pPr>
            <w:r>
              <w:rPr>
                <w:b w:val="false"/>
                <w:bCs w:val="false"/>
                <w:sz w:val="19"/>
                <w:szCs w:val="19"/>
              </w:rPr>
              <w:t xml:space="preserve">RF-02</w:t>
            </w:r>
          </w:p>
        </w:tc>
        <w:tc>
          <w:tcPr>
            <w:tcW w:type="dxa" w:w="2600"/>
            <w:tcMar>
              <w:top w:type="dxa" w:w="80"/>
              <w:left w:type="dxa" w:w="100"/>
              <w:bottom w:type="dxa" w:w="80"/>
              <w:right w:type="dxa" w:w="100"/>
            </w:tcMar>
          </w:tcPr>
          <w:p>
            <w:pPr>
              <w:jc w:val="left"/>
            </w:pPr>
            <w:r>
              <w:rPr>
                <w:b w:val="false"/>
                <w:bCs w:val="false"/>
                <w:sz w:val="19"/>
                <w:szCs w:val="19"/>
              </w:rPr>
              <w:t xml:space="preserve">Gestión de activos de instrumentación</w:t>
            </w:r>
          </w:p>
        </w:tc>
        <w:tc>
          <w:tcPr>
            <w:tcW w:type="dxa" w:w="6900"/>
            <w:tcMar>
              <w:top w:type="dxa" w:w="80"/>
              <w:left w:type="dxa" w:w="100"/>
              <w:bottom w:type="dxa" w:w="80"/>
              <w:right w:type="dxa" w:w="100"/>
            </w:tcMar>
          </w:tcPr>
          <w:p>
            <w:pPr>
              <w:jc w:val="left"/>
            </w:pPr>
            <w:r>
              <w:rPr>
                <w:b w:val="false"/>
                <w:bCs w:val="false"/>
                <w:sz w:val="19"/>
                <w:szCs w:val="19"/>
              </w:rPr>
              <w:t xml:space="preserve">Inventario georreferenciado de instrumentos por relavera, con ficha técnica y estado operativo.</w:t>
            </w:r>
          </w:p>
        </w:tc>
      </w:tr>
      <w:tr>
        <w:tc>
          <w:tcPr>
            <w:tcW w:type="dxa" w:w="900"/>
            <w:tcMar>
              <w:top w:type="dxa" w:w="80"/>
              <w:left w:type="dxa" w:w="100"/>
              <w:bottom w:type="dxa" w:w="80"/>
              <w:right w:type="dxa" w:w="100"/>
            </w:tcMar>
          </w:tcPr>
          <w:p>
            <w:pPr>
              <w:jc w:val="left"/>
            </w:pPr>
            <w:r>
              <w:rPr>
                <w:b w:val="false"/>
                <w:bCs w:val="false"/>
                <w:sz w:val="19"/>
                <w:szCs w:val="19"/>
              </w:rPr>
              <w:t xml:space="preserve">RF-03</w:t>
            </w:r>
          </w:p>
        </w:tc>
        <w:tc>
          <w:tcPr>
            <w:tcW w:type="dxa" w:w="2600"/>
            <w:tcMar>
              <w:top w:type="dxa" w:w="80"/>
              <w:left w:type="dxa" w:w="100"/>
              <w:bottom w:type="dxa" w:w="80"/>
              <w:right w:type="dxa" w:w="100"/>
            </w:tcMar>
          </w:tcPr>
          <w:p>
            <w:pPr>
              <w:jc w:val="left"/>
            </w:pPr>
            <w:r>
              <w:rPr>
                <w:b w:val="false"/>
                <w:bCs w:val="false"/>
                <w:sz w:val="19"/>
                <w:szCs w:val="19"/>
              </w:rPr>
              <w:t xml:space="preserve">Umbrales y alertas</w:t>
            </w:r>
          </w:p>
        </w:tc>
        <w:tc>
          <w:tcPr>
            <w:tcW w:type="dxa" w:w="6900"/>
            <w:tcMar>
              <w:top w:type="dxa" w:w="80"/>
              <w:left w:type="dxa" w:w="100"/>
              <w:bottom w:type="dxa" w:w="80"/>
              <w:right w:type="dxa" w:w="100"/>
            </w:tcMar>
          </w:tcPr>
          <w:p>
            <w:pPr>
              <w:jc w:val="left"/>
            </w:pPr>
            <w:r>
              <w:rPr>
                <w:b w:val="false"/>
                <w:bCs w:val="false"/>
                <w:sz w:val="19"/>
                <w:szCs w:val="19"/>
              </w:rPr>
              <w:t xml:space="preserve">Configuración de niveles de acción (atención, alerta, alarma, emergencia) por instrumento y relavera, con notificación automática.</w:t>
            </w:r>
          </w:p>
        </w:tc>
      </w:tr>
      <w:tr>
        <w:tc>
          <w:tcPr>
            <w:tcW w:type="dxa" w:w="900"/>
            <w:tcMar>
              <w:top w:type="dxa" w:w="80"/>
              <w:left w:type="dxa" w:w="100"/>
              <w:bottom w:type="dxa" w:w="80"/>
              <w:right w:type="dxa" w:w="100"/>
            </w:tcMar>
          </w:tcPr>
          <w:p>
            <w:pPr>
              <w:jc w:val="left"/>
            </w:pPr>
            <w:r>
              <w:rPr>
                <w:b w:val="false"/>
                <w:bCs w:val="false"/>
                <w:sz w:val="19"/>
                <w:szCs w:val="19"/>
              </w:rPr>
              <w:t xml:space="preserve">RF-04</w:t>
            </w:r>
          </w:p>
        </w:tc>
        <w:tc>
          <w:tcPr>
            <w:tcW w:type="dxa" w:w="2600"/>
            <w:tcMar>
              <w:top w:type="dxa" w:w="80"/>
              <w:left w:type="dxa" w:w="100"/>
              <w:bottom w:type="dxa" w:w="80"/>
              <w:right w:type="dxa" w:w="100"/>
            </w:tcMar>
          </w:tcPr>
          <w:p>
            <w:pPr>
              <w:jc w:val="left"/>
            </w:pPr>
            <w:r>
              <w:rPr>
                <w:b w:val="false"/>
                <w:bCs w:val="false"/>
                <w:sz w:val="19"/>
                <w:szCs w:val="19"/>
              </w:rPr>
              <w:t xml:space="preserve">Visualización y análisis</w:t>
            </w:r>
          </w:p>
        </w:tc>
        <w:tc>
          <w:tcPr>
            <w:tcW w:type="dxa" w:w="6900"/>
            <w:tcMar>
              <w:top w:type="dxa" w:w="80"/>
              <w:left w:type="dxa" w:w="100"/>
              <w:bottom w:type="dxa" w:w="80"/>
              <w:right w:type="dxa" w:w="100"/>
            </w:tcMar>
          </w:tcPr>
          <w:p>
            <w:pPr>
              <w:jc w:val="left"/>
            </w:pPr>
            <w:r>
              <w:rPr>
                <w:b w:val="false"/>
                <w:bCs w:val="false"/>
                <w:sz w:val="19"/>
                <w:szCs w:val="19"/>
              </w:rPr>
              <w:t xml:space="preserve">Series de tiempo, comparación entre instrumentos de una misma sección, vista en planta con capa InSAR.</w:t>
            </w:r>
          </w:p>
        </w:tc>
      </w:tr>
      <w:tr>
        <w:tc>
          <w:tcPr>
            <w:tcW w:type="dxa" w:w="900"/>
            <w:tcMar>
              <w:top w:type="dxa" w:w="80"/>
              <w:left w:type="dxa" w:w="100"/>
              <w:bottom w:type="dxa" w:w="80"/>
              <w:right w:type="dxa" w:w="100"/>
            </w:tcMar>
          </w:tcPr>
          <w:p>
            <w:pPr>
              <w:jc w:val="left"/>
            </w:pPr>
            <w:r>
              <w:rPr>
                <w:b w:val="false"/>
                <w:bCs w:val="false"/>
                <w:sz w:val="19"/>
                <w:szCs w:val="19"/>
              </w:rPr>
              <w:t xml:space="preserve">RF-05</w:t>
            </w:r>
          </w:p>
        </w:tc>
        <w:tc>
          <w:tcPr>
            <w:tcW w:type="dxa" w:w="2600"/>
            <w:tcMar>
              <w:top w:type="dxa" w:w="80"/>
              <w:left w:type="dxa" w:w="100"/>
              <w:bottom w:type="dxa" w:w="80"/>
              <w:right w:type="dxa" w:w="100"/>
            </w:tcMar>
          </w:tcPr>
          <w:p>
            <w:pPr>
              <w:jc w:val="left"/>
            </w:pPr>
            <w:r>
              <w:rPr>
                <w:b w:val="false"/>
                <w:bCs w:val="false"/>
                <w:sz w:val="19"/>
                <w:szCs w:val="19"/>
              </w:rPr>
              <w:t xml:space="preserve">Reportería y trazabilidad</w:t>
            </w:r>
          </w:p>
        </w:tc>
        <w:tc>
          <w:tcPr>
            <w:tcW w:type="dxa" w:w="6900"/>
            <w:tcMar>
              <w:top w:type="dxa" w:w="80"/>
              <w:left w:type="dxa" w:w="100"/>
              <w:bottom w:type="dxa" w:w="80"/>
              <w:right w:type="dxa" w:w="100"/>
            </w:tcMar>
          </w:tcPr>
          <w:p>
            <w:pPr>
              <w:jc w:val="left"/>
            </w:pPr>
            <w:r>
              <w:rPr>
                <w:b w:val="false"/>
                <w:bCs w:val="false"/>
                <w:sz w:val="19"/>
                <w:szCs w:val="19"/>
              </w:rPr>
              <w:t xml:space="preserve">Reportes periódicos automatizados y registro histórico inmutable de lecturas.</w:t>
            </w:r>
          </w:p>
        </w:tc>
      </w:tr>
      <w:tr>
        <w:tc>
          <w:tcPr>
            <w:tcW w:type="dxa" w:w="900"/>
            <w:tcMar>
              <w:top w:type="dxa" w:w="80"/>
              <w:left w:type="dxa" w:w="100"/>
              <w:bottom w:type="dxa" w:w="80"/>
              <w:right w:type="dxa" w:w="100"/>
            </w:tcMar>
          </w:tcPr>
          <w:p>
            <w:pPr>
              <w:jc w:val="left"/>
            </w:pPr>
            <w:r>
              <w:rPr>
                <w:b w:val="false"/>
                <w:bCs w:val="false"/>
                <w:sz w:val="19"/>
                <w:szCs w:val="19"/>
              </w:rPr>
              <w:t xml:space="preserve">RF-06</w:t>
            </w:r>
          </w:p>
        </w:tc>
        <w:tc>
          <w:tcPr>
            <w:tcW w:type="dxa" w:w="2600"/>
            <w:tcMar>
              <w:top w:type="dxa" w:w="80"/>
              <w:left w:type="dxa" w:w="100"/>
              <w:bottom w:type="dxa" w:w="80"/>
              <w:right w:type="dxa" w:w="100"/>
            </w:tcMar>
          </w:tcPr>
          <w:p>
            <w:pPr>
              <w:jc w:val="left"/>
            </w:pPr>
            <w:r>
              <w:rPr>
                <w:b w:val="false"/>
                <w:bCs w:val="false"/>
                <w:sz w:val="19"/>
                <w:szCs w:val="19"/>
              </w:rPr>
              <w:t xml:space="preserve">Gestión documental de línea base</w:t>
            </w:r>
          </w:p>
        </w:tc>
        <w:tc>
          <w:tcPr>
            <w:tcW w:type="dxa" w:w="6900"/>
            <w:tcMar>
              <w:top w:type="dxa" w:w="80"/>
              <w:left w:type="dxa" w:w="100"/>
              <w:bottom w:type="dxa" w:w="80"/>
              <w:right w:type="dxa" w:w="100"/>
            </w:tcMar>
          </w:tcPr>
          <w:p>
            <w:pPr>
              <w:jc w:val="left"/>
            </w:pPr>
            <w:r>
              <w:rPr>
                <w:b w:val="false"/>
                <w:bCs w:val="false"/>
                <w:sz w:val="19"/>
                <w:szCs w:val="19"/>
              </w:rPr>
              <w:t xml:space="preserve">Repositorio de los análisis geotécnicos existentes, vinculado a la data histórica de telemetría.</w:t>
            </w:r>
          </w:p>
        </w:tc>
      </w:tr>
    </w:tbl>
    <w:p>
      <w:pPr>
        <w:pStyle w:val="Heading1"/>
        <w:spacing w:after="160" w:before="320"/>
      </w:pPr>
      <w:r>
        <w:t xml:space="preserve">5. Historias de usuario</w:t>
      </w:r>
    </w:p>
    <w:p>
      <w:pPr>
        <w:spacing w:after="120"/>
      </w:pPr>
      <w:r>
        <w:t xml:space="preserve">Formato: Como &lt;rol&gt;, quiero &lt;funcionalidad&gt;, para &lt;beneficio&gt;. Prioridad según impacto en seguridad de presas y cumplimiento normativo.</w:t>
      </w:r>
    </w:p>
    <w:p>
      <w:pPr>
        <w:pStyle w:val="Heading2"/>
        <w:spacing w:after="120" w:before="260"/>
      </w:pPr>
      <w:r>
        <w:t xml:space="preserve">5.1 Ingesta y conectividad</w:t>
      </w:r>
    </w:p>
    <w:p>
      <w:pPr>
        <w:shd w:fill="EEF2F6" w:val="clear"/>
        <w:spacing w:after="60" w:before="200"/>
      </w:pPr>
      <w:r>
        <w:rPr>
          <w:b/>
          <w:bCs/>
          <w:color w:val="1F3864"/>
        </w:rPr>
        <w:t xml:space="preserve">HU-01  </w:t>
      </w:r>
      <w:r>
        <w:rPr>
          <w:b/>
          <w:bCs/>
        </w:rPr>
        <w:t xml:space="preserve">Conexión con telemetría en tiempo real</w:t>
      </w:r>
    </w:p>
    <w:p>
      <w:pPr>
        <w:spacing w:after="80"/>
      </w:pPr>
      <w:r>
        <w:rPr>
          <w:b/>
          <w:bCs/>
          <w:sz w:val="18"/>
          <w:szCs w:val="18"/>
        </w:rPr>
        <w:t xml:space="preserve">Módulo: </w:t>
      </w:r>
      <w:r>
        <w:rPr>
          <w:sz w:val="18"/>
          <w:szCs w:val="18"/>
        </w:rPr>
        <w:t xml:space="preserve">Ingesta y conectividad</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administrador de ECO2BIZ</w:t>
      </w:r>
    </w:p>
    <w:p>
      <w:pPr>
        <w:spacing w:after="40"/>
      </w:pPr>
      <w:r>
        <w:rPr>
          <w:i/>
          <w:iCs/>
        </w:rPr>
        <w:t xml:space="preserve">quiero </w:t>
      </w:r>
      <w:r>
        <w:t xml:space="preserve">configurar la conexión con el sistema de telemetría vigente de Volcán</w:t>
      </w:r>
    </w:p>
    <w:p>
      <w:pPr>
        <w:spacing w:after="100"/>
      </w:pPr>
      <w:r>
        <w:rPr>
          <w:i/>
          <w:iCs/>
        </w:rPr>
        <w:t xml:space="preserve">para </w:t>
      </w:r>
      <w:r>
        <w:t xml:space="preserve">que las lecturas de todos los instrumentos se reciban automáticamente sin doble digitación</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Se puede registrar la URL/credenciales del sistema de telemetría por relavera.</w:t>
      </w:r>
    </w:p>
    <w:p>
      <w:pPr>
        <w:pStyle w:val="ListParagraph"/>
        <w:numPr>
          <w:ilvl w:val="0"/>
          <w:numId w:val="2"/>
        </w:numPr>
        <w:spacing w:after="60"/>
      </w:pPr>
      <w:r>
        <w:rPr>
          <w:sz w:val="19"/>
          <w:szCs w:val="19"/>
        </w:rPr>
        <w:t xml:space="preserve">El sistema confirma la conexión exitosa y muestra la última sincronización.</w:t>
      </w:r>
    </w:p>
    <w:p>
      <w:pPr>
        <w:pStyle w:val="ListParagraph"/>
        <w:numPr>
          <w:ilvl w:val="0"/>
          <w:numId w:val="2"/>
        </w:numPr>
        <w:spacing w:after="60"/>
      </w:pPr>
      <w:r>
        <w:rPr>
          <w:sz w:val="19"/>
          <w:szCs w:val="19"/>
        </w:rPr>
        <w:t xml:space="preserve">Si la conexión falla, se genera una alerta de falla de ingesta, no una lectura vacía.</w:t>
      </w:r>
    </w:p>
    <w:p>
      <w:pPr>
        <w:shd w:fill="EEF2F6" w:val="clear"/>
        <w:spacing w:after="60" w:before="200"/>
      </w:pPr>
      <w:r>
        <w:rPr>
          <w:b/>
          <w:bCs/>
          <w:color w:val="1F3864"/>
        </w:rPr>
        <w:t xml:space="preserve">HU-02  </w:t>
      </w:r>
      <w:r>
        <w:rPr>
          <w:b/>
          <w:bCs/>
        </w:rPr>
        <w:t xml:space="preserve">Carga de piezómetros Casagrande (lectura manual)</w:t>
      </w:r>
    </w:p>
    <w:p>
      <w:pPr>
        <w:spacing w:after="80"/>
      </w:pPr>
      <w:r>
        <w:rPr>
          <w:b/>
          <w:bCs/>
          <w:sz w:val="18"/>
          <w:szCs w:val="18"/>
        </w:rPr>
        <w:t xml:space="preserve">Módulo: </w:t>
      </w:r>
      <w:r>
        <w:rPr>
          <w:sz w:val="18"/>
          <w:szCs w:val="18"/>
        </w:rPr>
        <w:t xml:space="preserve">Ingesta y conectividad</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técnico de campo</w:t>
      </w:r>
    </w:p>
    <w:p>
      <w:pPr>
        <w:spacing w:after="40"/>
      </w:pPr>
      <w:r>
        <w:rPr>
          <w:i/>
          <w:iCs/>
        </w:rPr>
        <w:t xml:space="preserve">quiero </w:t>
      </w:r>
      <w:r>
        <w:t xml:space="preserve">registrar manualmente las lecturas de los piezómetros Casagrande</w:t>
      </w:r>
    </w:p>
    <w:p>
      <w:pPr>
        <w:spacing w:after="100"/>
      </w:pPr>
      <w:r>
        <w:rPr>
          <w:i/>
          <w:iCs/>
        </w:rPr>
        <w:t xml:space="preserve">para </w:t>
      </w:r>
      <w:r>
        <w:t xml:space="preserve">que estos instrumentos, que no transmiten automáticamente, queden igualmente integrados en la plataforma</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Existe un formulario de carga manual asociado a cada punto Casagrande.</w:t>
      </w:r>
    </w:p>
    <w:p>
      <w:pPr>
        <w:pStyle w:val="ListParagraph"/>
        <w:numPr>
          <w:ilvl w:val="0"/>
          <w:numId w:val="2"/>
        </w:numPr>
        <w:spacing w:after="60"/>
      </w:pPr>
      <w:r>
        <w:rPr>
          <w:sz w:val="19"/>
          <w:szCs w:val="19"/>
        </w:rPr>
        <w:t xml:space="preserve">El sistema exige unidad de medida y fecha/hora de lectura.</w:t>
      </w:r>
    </w:p>
    <w:p>
      <w:pPr>
        <w:pStyle w:val="ListParagraph"/>
        <w:numPr>
          <w:ilvl w:val="0"/>
          <w:numId w:val="2"/>
        </w:numPr>
        <w:spacing w:after="60"/>
      </w:pPr>
      <w:r>
        <w:rPr>
          <w:sz w:val="19"/>
          <w:szCs w:val="19"/>
        </w:rPr>
        <w:t xml:space="preserve">Si pasan más de N días sin lectura, se genera una alerta de mora de lectura.</w:t>
      </w:r>
    </w:p>
    <w:p>
      <w:pPr>
        <w:shd w:fill="EEF2F6" w:val="clear"/>
        <w:spacing w:after="60" w:before="200"/>
      </w:pPr>
      <w:r>
        <w:rPr>
          <w:b/>
          <w:bCs/>
          <w:color w:val="1F3864"/>
        </w:rPr>
        <w:t xml:space="preserve">HU-03  </w:t>
      </w:r>
      <w:r>
        <w:rPr>
          <w:b/>
          <w:bCs/>
        </w:rPr>
        <w:t xml:space="preserve">Carga de data histórica y análisis previos</w:t>
      </w:r>
    </w:p>
    <w:p>
      <w:pPr>
        <w:spacing w:after="80"/>
      </w:pPr>
      <w:r>
        <w:rPr>
          <w:b/>
          <w:bCs/>
          <w:sz w:val="18"/>
          <w:szCs w:val="18"/>
        </w:rPr>
        <w:t xml:space="preserve">Módulo: </w:t>
      </w:r>
      <w:r>
        <w:rPr>
          <w:sz w:val="18"/>
          <w:szCs w:val="18"/>
        </w:rPr>
        <w:t xml:space="preserve">Gestión documental de línea base</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especialista geotécnico</w:t>
      </w:r>
    </w:p>
    <w:p>
      <w:pPr>
        <w:spacing w:after="40"/>
      </w:pPr>
      <w:r>
        <w:rPr>
          <w:i/>
          <w:iCs/>
        </w:rPr>
        <w:t xml:space="preserve">quiero </w:t>
      </w:r>
      <w:r>
        <w:t xml:space="preserve">cargar la data histórica y los informes de análisis ya realizados con la telemetría actual</w:t>
      </w:r>
    </w:p>
    <w:p>
      <w:pPr>
        <w:spacing w:after="100"/>
      </w:pPr>
      <w:r>
        <w:rPr>
          <w:i/>
          <w:iCs/>
        </w:rPr>
        <w:t xml:space="preserve">para </w:t>
      </w:r>
      <w:r>
        <w:t xml:space="preserve">contar con una línea base al migrar a la plataforma unificada</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Se puede importar data histórica en lote (CSV/Excel) mapeando columnas a instrumento y unidad.</w:t>
      </w:r>
    </w:p>
    <w:p>
      <w:pPr>
        <w:pStyle w:val="ListParagraph"/>
        <w:numPr>
          <w:ilvl w:val="0"/>
          <w:numId w:val="2"/>
        </w:numPr>
        <w:spacing w:after="60"/>
      </w:pPr>
      <w:r>
        <w:rPr>
          <w:sz w:val="19"/>
          <w:szCs w:val="19"/>
        </w:rPr>
        <w:t xml:space="preserve">Los documentos de análisis quedan vinculados a la relavera y al rango de fechas que cubren.</w:t>
      </w:r>
    </w:p>
    <w:p>
      <w:pPr>
        <w:pStyle w:val="ListParagraph"/>
        <w:numPr>
          <w:ilvl w:val="0"/>
          <w:numId w:val="2"/>
        </w:numPr>
        <w:spacing w:after="60"/>
      </w:pPr>
      <w:r>
        <w:rPr>
          <w:sz w:val="19"/>
          <w:szCs w:val="19"/>
        </w:rPr>
        <w:t xml:space="preserve">La data importada se distingue visualmente de la data en tiempo real.</w:t>
      </w:r>
    </w:p>
    <w:p>
      <w:pPr>
        <w:pStyle w:val="Heading2"/>
        <w:spacing w:after="120" w:before="260"/>
      </w:pPr>
      <w:r>
        <w:t xml:space="preserve">5.2 Umbrales, alertas y monitoreo</w:t>
      </w:r>
    </w:p>
    <w:p>
      <w:pPr>
        <w:shd w:fill="EEF2F6" w:val="clear"/>
        <w:spacing w:after="60" w:before="200"/>
      </w:pPr>
      <w:r>
        <w:rPr>
          <w:b/>
          <w:bCs/>
          <w:color w:val="1F3864"/>
        </w:rPr>
        <w:t xml:space="preserve">HU-04  </w:t>
      </w:r>
      <w:r>
        <w:rPr>
          <w:b/>
          <w:bCs/>
        </w:rPr>
        <w:t xml:space="preserve">Configuración de umbrales por instrumento</w:t>
      </w:r>
    </w:p>
    <w:p>
      <w:pPr>
        <w:spacing w:after="80"/>
      </w:pPr>
      <w:r>
        <w:rPr>
          <w:b/>
          <w:bCs/>
          <w:sz w:val="18"/>
          <w:szCs w:val="18"/>
        </w:rPr>
        <w:t xml:space="preserve">Módulo: </w:t>
      </w:r>
      <w:r>
        <w:rPr>
          <w:sz w:val="18"/>
          <w:szCs w:val="18"/>
        </w:rPr>
        <w:t xml:space="preserve">Umbrales y alertas</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responsable de seguridad de presas</w:t>
      </w:r>
    </w:p>
    <w:p>
      <w:pPr>
        <w:spacing w:after="40"/>
      </w:pPr>
      <w:r>
        <w:rPr>
          <w:i/>
          <w:iCs/>
        </w:rPr>
        <w:t xml:space="preserve">quiero </w:t>
      </w:r>
      <w:r>
        <w:t xml:space="preserve">definir los niveles de atención, alerta, alarma y emergencia para cada instrumento</w:t>
      </w:r>
    </w:p>
    <w:p>
      <w:pPr>
        <w:spacing w:after="100"/>
      </w:pPr>
      <w:r>
        <w:rPr>
          <w:i/>
          <w:iCs/>
        </w:rPr>
        <w:t xml:space="preserve">para </w:t>
      </w:r>
      <w:r>
        <w:t xml:space="preserve">que el sistema notifique automáticamente cuando una lectura los supere</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Los umbrales se configuran por instrumento individual y pueden heredarse por tipo y relavera.</w:t>
      </w:r>
    </w:p>
    <w:p>
      <w:pPr>
        <w:pStyle w:val="ListParagraph"/>
        <w:numPr>
          <w:ilvl w:val="0"/>
          <w:numId w:val="2"/>
        </w:numPr>
        <w:spacing w:after="60"/>
      </w:pPr>
      <w:r>
        <w:rPr>
          <w:sz w:val="19"/>
          <w:szCs w:val="19"/>
        </w:rPr>
        <w:t xml:space="preserve">Cada nivel tiene un color y una acción de notificación asociada.</w:t>
      </w:r>
    </w:p>
    <w:p>
      <w:pPr>
        <w:pStyle w:val="ListParagraph"/>
        <w:numPr>
          <w:ilvl w:val="0"/>
          <w:numId w:val="2"/>
        </w:numPr>
        <w:spacing w:after="60"/>
      </w:pPr>
      <w:r>
        <w:rPr>
          <w:sz w:val="19"/>
          <w:szCs w:val="19"/>
        </w:rPr>
        <w:t xml:space="preserve">El historial de cambios de umbral queda registrado con usuario y fecha.</w:t>
      </w:r>
    </w:p>
    <w:p>
      <w:pPr>
        <w:shd w:fill="EEF2F6" w:val="clear"/>
        <w:spacing w:after="60" w:before="200"/>
      </w:pPr>
      <w:r>
        <w:rPr>
          <w:b/>
          <w:bCs/>
          <w:color w:val="1F3864"/>
        </w:rPr>
        <w:t xml:space="preserve">HU-05  </w:t>
      </w:r>
      <w:r>
        <w:rPr>
          <w:b/>
          <w:bCs/>
        </w:rPr>
        <w:t xml:space="preserve">Notificación automática de superación de umbral</w:t>
      </w:r>
    </w:p>
    <w:p>
      <w:pPr>
        <w:spacing w:after="80"/>
      </w:pPr>
      <w:r>
        <w:rPr>
          <w:b/>
          <w:bCs/>
          <w:sz w:val="18"/>
          <w:szCs w:val="18"/>
        </w:rPr>
        <w:t xml:space="preserve">Módulo: </w:t>
      </w:r>
      <w:r>
        <w:rPr>
          <w:sz w:val="18"/>
          <w:szCs w:val="18"/>
        </w:rPr>
        <w:t xml:space="preserve">Umbrales y alertas</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responsable de seguridad de presas</w:t>
      </w:r>
    </w:p>
    <w:p>
      <w:pPr>
        <w:spacing w:after="40"/>
      </w:pPr>
      <w:r>
        <w:rPr>
          <w:i/>
          <w:iCs/>
        </w:rPr>
        <w:t xml:space="preserve">quiero </w:t>
      </w:r>
      <w:r>
        <w:t xml:space="preserve">recibir una notificación automática cuando un instrumento supere su umbral</w:t>
      </w:r>
    </w:p>
    <w:p>
      <w:pPr>
        <w:spacing w:after="100"/>
      </w:pPr>
      <w:r>
        <w:rPr>
          <w:i/>
          <w:iCs/>
        </w:rPr>
        <w:t xml:space="preserve">para </w:t>
      </w:r>
      <w:r>
        <w:t xml:space="preserve">poder actuar oportunamente ante una condición geotécnica anómala</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La notificación se envía por correo y, si está configurado, por SMS.</w:t>
      </w:r>
    </w:p>
    <w:p>
      <w:pPr>
        <w:pStyle w:val="ListParagraph"/>
        <w:numPr>
          <w:ilvl w:val="0"/>
          <w:numId w:val="2"/>
        </w:numPr>
        <w:spacing w:after="60"/>
      </w:pPr>
      <w:r>
        <w:rPr>
          <w:sz w:val="19"/>
          <w:szCs w:val="19"/>
        </w:rPr>
        <w:t xml:space="preserve">El mensaje indica instrumento, relavera, valor leído y nivel de severidad.</w:t>
      </w:r>
    </w:p>
    <w:p>
      <w:pPr>
        <w:pStyle w:val="ListParagraph"/>
        <w:numPr>
          <w:ilvl w:val="0"/>
          <w:numId w:val="2"/>
        </w:numPr>
        <w:spacing w:after="60"/>
      </w:pPr>
      <w:r>
        <w:rPr>
          <w:sz w:val="19"/>
          <w:szCs w:val="19"/>
        </w:rPr>
        <w:t xml:space="preserve">La alerta permanece visible en el dashboard hasta que un usuario la reconoce.</w:t>
      </w:r>
    </w:p>
    <w:p>
      <w:pPr>
        <w:shd w:fill="EEF2F6" w:val="clear"/>
        <w:spacing w:after="60" w:before="200"/>
      </w:pPr>
      <w:r>
        <w:rPr>
          <w:b/>
          <w:bCs/>
          <w:color w:val="1F3864"/>
        </w:rPr>
        <w:t xml:space="preserve">HU-06  </w:t>
      </w:r>
      <w:r>
        <w:rPr>
          <w:b/>
          <w:bCs/>
        </w:rPr>
        <w:t xml:space="preserve">Registro de eventos sísmicos (acelerógrafos)</w:t>
      </w:r>
    </w:p>
    <w:p>
      <w:pPr>
        <w:spacing w:after="80"/>
      </w:pPr>
      <w:r>
        <w:rPr>
          <w:b/>
          <w:bCs/>
          <w:sz w:val="18"/>
          <w:szCs w:val="18"/>
        </w:rPr>
        <w:t xml:space="preserve">Módulo: </w:t>
      </w:r>
      <w:r>
        <w:rPr>
          <w:sz w:val="18"/>
          <w:szCs w:val="18"/>
        </w:rPr>
        <w:t xml:space="preserve">Visualización y análisis</w:t>
      </w:r>
      <w:r>
        <w:rPr>
          <w:b/>
          <w:bCs/>
          <w:sz w:val="18"/>
          <w:szCs w:val="18"/>
        </w:rPr>
        <w:t xml:space="preserve">     Prioridad: </w:t>
      </w:r>
      <w:r>
        <w:rPr>
          <w:b/>
          <w:bCs/>
          <w:color w:val="B7791F"/>
          <w:sz w:val="18"/>
          <w:szCs w:val="18"/>
        </w:rPr>
        <w:t xml:space="preserve">Media</w:t>
      </w:r>
    </w:p>
    <w:p>
      <w:pPr>
        <w:spacing w:after="40"/>
      </w:pPr>
      <w:r>
        <w:rPr>
          <w:i/>
          <w:iCs/>
        </w:rPr>
        <w:t xml:space="preserve">Como </w:t>
      </w:r>
      <w:r>
        <w:t xml:space="preserve">especialista geotécnico</w:t>
      </w:r>
    </w:p>
    <w:p>
      <w:pPr>
        <w:spacing w:after="40"/>
      </w:pPr>
      <w:r>
        <w:rPr>
          <w:i/>
          <w:iCs/>
        </w:rPr>
        <w:t xml:space="preserve">quiero </w:t>
      </w:r>
      <w:r>
        <w:t xml:space="preserve">que los eventos sísmicos detectados por los acelerógrafos se registren como eventos discretos con su PGA</w:t>
      </w:r>
    </w:p>
    <w:p>
      <w:pPr>
        <w:spacing w:after="100"/>
      </w:pPr>
      <w:r>
        <w:rPr>
          <w:i/>
          <w:iCs/>
        </w:rPr>
        <w:t xml:space="preserve">para </w:t>
      </w:r>
      <w:r>
        <w:t xml:space="preserve">poder correlacionar sismos con variaciones posteriores en piezometría o inclinometría</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Cada evento sísmico se almacena con fecha, hora, PGA y estación que lo registró.</w:t>
      </w:r>
    </w:p>
    <w:p>
      <w:pPr>
        <w:pStyle w:val="ListParagraph"/>
        <w:numPr>
          <w:ilvl w:val="0"/>
          <w:numId w:val="2"/>
        </w:numPr>
        <w:spacing w:after="60"/>
      </w:pPr>
      <w:r>
        <w:rPr>
          <w:sz w:val="19"/>
          <w:szCs w:val="19"/>
        </w:rPr>
        <w:t xml:space="preserve">Se puede filtrar el histórico de otros instrumentos por ventana de tiempo alrededor de un evento sísmico.</w:t>
      </w:r>
    </w:p>
    <w:p>
      <w:pPr>
        <w:pStyle w:val="ListParagraph"/>
        <w:numPr>
          <w:ilvl w:val="0"/>
          <w:numId w:val="2"/>
        </w:numPr>
        <w:spacing w:after="60"/>
      </w:pPr>
      <w:r>
        <w:rPr>
          <w:sz w:val="19"/>
          <w:szCs w:val="19"/>
        </w:rPr>
        <w:t xml:space="preserve">Los eventos sobre un PGA configurable generan alerta automática.</w:t>
      </w:r>
    </w:p>
    <w:p>
      <w:pPr>
        <w:pStyle w:val="Heading2"/>
        <w:spacing w:after="120" w:before="260"/>
      </w:pPr>
      <w:r>
        <w:t xml:space="preserve">5.3 Visualización</w:t>
      </w:r>
    </w:p>
    <w:p>
      <w:pPr>
        <w:shd w:fill="EEF2F6" w:val="clear"/>
        <w:spacing w:after="60" w:before="200"/>
      </w:pPr>
      <w:r>
        <w:rPr>
          <w:b/>
          <w:bCs/>
          <w:color w:val="1F3864"/>
        </w:rPr>
        <w:t xml:space="preserve">HU-07  </w:t>
      </w:r>
      <w:r>
        <w:rPr>
          <w:b/>
          <w:bCs/>
        </w:rPr>
        <w:t xml:space="preserve">Vista de sección geotécnica instrumentada</w:t>
      </w:r>
    </w:p>
    <w:p>
      <w:pPr>
        <w:spacing w:after="80"/>
      </w:pPr>
      <w:r>
        <w:rPr>
          <w:b/>
          <w:bCs/>
          <w:sz w:val="18"/>
          <w:szCs w:val="18"/>
        </w:rPr>
        <w:t xml:space="preserve">Módulo: </w:t>
      </w:r>
      <w:r>
        <w:rPr>
          <w:sz w:val="18"/>
          <w:szCs w:val="18"/>
        </w:rPr>
        <w:t xml:space="preserve">Visualización y análisis</w:t>
      </w:r>
      <w:r>
        <w:rPr>
          <w:b/>
          <w:bCs/>
          <w:sz w:val="18"/>
          <w:szCs w:val="18"/>
        </w:rPr>
        <w:t xml:space="preserve">     Prioridad: </w:t>
      </w:r>
      <w:r>
        <w:rPr>
          <w:b/>
          <w:bCs/>
          <w:color w:val="C0392B"/>
          <w:sz w:val="18"/>
          <w:szCs w:val="18"/>
        </w:rPr>
        <w:t xml:space="preserve">Alta</w:t>
      </w:r>
    </w:p>
    <w:p>
      <w:pPr>
        <w:spacing w:after="40"/>
      </w:pPr>
      <w:r>
        <w:rPr>
          <w:i/>
          <w:iCs/>
        </w:rPr>
        <w:t xml:space="preserve">Como </w:t>
      </w:r>
      <w:r>
        <w:t xml:space="preserve">especialista geotécnico</w:t>
      </w:r>
    </w:p>
    <w:p>
      <w:pPr>
        <w:spacing w:after="40"/>
      </w:pPr>
      <w:r>
        <w:rPr>
          <w:i/>
          <w:iCs/>
        </w:rPr>
        <w:t xml:space="preserve">quiero </w:t>
      </w:r>
      <w:r>
        <w:t xml:space="preserve">visualizar en una sola vista las lecturas de los piezómetros e inclinómetros de una misma sección transversal</w:t>
      </w:r>
    </w:p>
    <w:p>
      <w:pPr>
        <w:spacing w:after="100"/>
      </w:pPr>
      <w:r>
        <w:rPr>
          <w:i/>
          <w:iCs/>
        </w:rPr>
        <w:t xml:space="preserve">para </w:t>
      </w:r>
      <w:r>
        <w:t xml:space="preserve">evaluar la superficie freática y el comportamiento del talud de forma integrada</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La vista permite seleccionar una sección predefinida por relavera.</w:t>
      </w:r>
    </w:p>
    <w:p>
      <w:pPr>
        <w:pStyle w:val="ListParagraph"/>
        <w:numPr>
          <w:ilvl w:val="0"/>
          <w:numId w:val="2"/>
        </w:numPr>
        <w:spacing w:after="60"/>
      </w:pPr>
      <w:r>
        <w:rPr>
          <w:sz w:val="19"/>
          <w:szCs w:val="19"/>
        </w:rPr>
        <w:t xml:space="preserve">Se muestran series de tiempo superpuestas de los instrumentos de esa sección.</w:t>
      </w:r>
    </w:p>
    <w:p>
      <w:pPr>
        <w:pStyle w:val="ListParagraph"/>
        <w:numPr>
          <w:ilvl w:val="0"/>
          <w:numId w:val="2"/>
        </w:numPr>
        <w:spacing w:after="60"/>
      </w:pPr>
      <w:r>
        <w:rPr>
          <w:sz w:val="19"/>
          <w:szCs w:val="19"/>
        </w:rPr>
        <w:t xml:space="preserve">Se puede exportar la vista como imagen para incluir en informes.</w:t>
      </w:r>
    </w:p>
    <w:p>
      <w:pPr>
        <w:shd w:fill="EEF2F6" w:val="clear"/>
        <w:spacing w:after="60" w:before="200"/>
      </w:pPr>
      <w:r>
        <w:rPr>
          <w:b/>
          <w:bCs/>
          <w:color w:val="1F3864"/>
        </w:rPr>
        <w:t xml:space="preserve">HU-08  </w:t>
      </w:r>
      <w:r>
        <w:rPr>
          <w:b/>
          <w:bCs/>
        </w:rPr>
        <w:t xml:space="preserve">Capa de deformación superficial InSAR</w:t>
      </w:r>
    </w:p>
    <w:p>
      <w:pPr>
        <w:spacing w:after="80"/>
      </w:pPr>
      <w:r>
        <w:rPr>
          <w:b/>
          <w:bCs/>
          <w:sz w:val="18"/>
          <w:szCs w:val="18"/>
        </w:rPr>
        <w:t xml:space="preserve">Módulo: </w:t>
      </w:r>
      <w:r>
        <w:rPr>
          <w:sz w:val="18"/>
          <w:szCs w:val="18"/>
        </w:rPr>
        <w:t xml:space="preserve">Visualización y análisis</w:t>
      </w:r>
      <w:r>
        <w:rPr>
          <w:b/>
          <w:bCs/>
          <w:sz w:val="18"/>
          <w:szCs w:val="18"/>
        </w:rPr>
        <w:t xml:space="preserve">     Prioridad: </w:t>
      </w:r>
      <w:r>
        <w:rPr>
          <w:b/>
          <w:bCs/>
          <w:color w:val="B7791F"/>
          <w:sz w:val="18"/>
          <w:szCs w:val="18"/>
        </w:rPr>
        <w:t xml:space="preserve">Media</w:t>
      </w:r>
    </w:p>
    <w:p>
      <w:pPr>
        <w:spacing w:after="40"/>
      </w:pPr>
      <w:r>
        <w:rPr>
          <w:i/>
          <w:iCs/>
        </w:rPr>
        <w:t xml:space="preserve">Como </w:t>
      </w:r>
      <w:r>
        <w:t xml:space="preserve">responsable de seguridad de presas</w:t>
      </w:r>
    </w:p>
    <w:p>
      <w:pPr>
        <w:spacing w:after="40"/>
      </w:pPr>
      <w:r>
        <w:rPr>
          <w:i/>
          <w:iCs/>
        </w:rPr>
        <w:t xml:space="preserve">quiero </w:t>
      </w:r>
      <w:r>
        <w:t xml:space="preserve">ver sobre el plano de la relavera las zonas con deformación detectada por InSAR</w:t>
      </w:r>
    </w:p>
    <w:p>
      <w:pPr>
        <w:spacing w:after="100"/>
      </w:pPr>
      <w:r>
        <w:rPr>
          <w:i/>
          <w:iCs/>
        </w:rPr>
        <w:t xml:space="preserve">para </w:t>
      </w:r>
      <w:r>
        <w:t xml:space="preserve">identificar visualmente qué sectores requieren atención sin revisar tablas de datos</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La capa InSAR se muestra sobre el plano en planta de la relavera.</w:t>
      </w:r>
    </w:p>
    <w:p>
      <w:pPr>
        <w:pStyle w:val="ListParagraph"/>
        <w:numPr>
          <w:ilvl w:val="0"/>
          <w:numId w:val="2"/>
        </w:numPr>
        <w:spacing w:after="60"/>
      </w:pPr>
      <w:r>
        <w:rPr>
          <w:sz w:val="19"/>
          <w:szCs w:val="19"/>
        </w:rPr>
        <w:t xml:space="preserve">Las zonas se colorean según el nivel de deformación (normal, atención, alerta).</w:t>
      </w:r>
    </w:p>
    <w:p>
      <w:pPr>
        <w:pStyle w:val="ListParagraph"/>
        <w:numPr>
          <w:ilvl w:val="0"/>
          <w:numId w:val="2"/>
        </w:numPr>
        <w:spacing w:after="60"/>
      </w:pPr>
      <w:r>
        <w:rPr>
          <w:sz w:val="19"/>
          <w:szCs w:val="19"/>
        </w:rPr>
        <w:t xml:space="preserve">Al hacer clic en una zona se muestra el detalle de mm/año y la fecha de la última pasada satelital.</w:t>
      </w:r>
    </w:p>
    <w:p>
      <w:pPr>
        <w:pStyle w:val="Heading2"/>
        <w:spacing w:after="120" w:before="260"/>
      </w:pPr>
      <w:r>
        <w:t xml:space="preserve">5.4 Reportería</w:t>
      </w:r>
    </w:p>
    <w:p>
      <w:pPr>
        <w:shd w:fill="EEF2F6" w:val="clear"/>
        <w:spacing w:after="60" w:before="200"/>
      </w:pPr>
      <w:r>
        <w:rPr>
          <w:b/>
          <w:bCs/>
          <w:color w:val="1F3864"/>
        </w:rPr>
        <w:t xml:space="preserve">HU-09  </w:t>
      </w:r>
      <w:r>
        <w:rPr>
          <w:b/>
          <w:bCs/>
        </w:rPr>
        <w:t xml:space="preserve">Reporte periódico para autoridades</w:t>
      </w:r>
    </w:p>
    <w:p>
      <w:pPr>
        <w:spacing w:after="80"/>
      </w:pPr>
      <w:r>
        <w:rPr>
          <w:b/>
          <w:bCs/>
          <w:sz w:val="18"/>
          <w:szCs w:val="18"/>
        </w:rPr>
        <w:t xml:space="preserve">Módulo: </w:t>
      </w:r>
      <w:r>
        <w:rPr>
          <w:sz w:val="18"/>
          <w:szCs w:val="18"/>
        </w:rPr>
        <w:t xml:space="preserve">Reportería y trazabilidad</w:t>
      </w:r>
      <w:r>
        <w:rPr>
          <w:b/>
          <w:bCs/>
          <w:sz w:val="18"/>
          <w:szCs w:val="18"/>
        </w:rPr>
        <w:t xml:space="preserve">     Prioridad: </w:t>
      </w:r>
      <w:r>
        <w:rPr>
          <w:b/>
          <w:bCs/>
          <w:color w:val="B7791F"/>
          <w:sz w:val="18"/>
          <w:szCs w:val="18"/>
        </w:rPr>
        <w:t xml:space="preserve">Media</w:t>
      </w:r>
    </w:p>
    <w:p>
      <w:pPr>
        <w:spacing w:after="40"/>
      </w:pPr>
      <w:r>
        <w:rPr>
          <w:i/>
          <w:iCs/>
        </w:rPr>
        <w:t xml:space="preserve">Como </w:t>
      </w:r>
      <w:r>
        <w:t xml:space="preserve">responsable de cumplimiento ambiental</w:t>
      </w:r>
    </w:p>
    <w:p>
      <w:pPr>
        <w:spacing w:after="40"/>
      </w:pPr>
      <w:r>
        <w:rPr>
          <w:i/>
          <w:iCs/>
        </w:rPr>
        <w:t xml:space="preserve">quiero </w:t>
      </w:r>
      <w:r>
        <w:t xml:space="preserve">generar automáticamente el reporte periódico de monitoreo geotécnico</w:t>
      </w:r>
    </w:p>
    <w:p>
      <w:pPr>
        <w:spacing w:after="100"/>
      </w:pPr>
      <w:r>
        <w:rPr>
          <w:i/>
          <w:iCs/>
        </w:rPr>
        <w:t xml:space="preserve">para </w:t>
      </w:r>
      <w:r>
        <w:t xml:space="preserve">cumplir con los plazos de entrega a ANA/OEFA sin consolidar la información manualmente</w:t>
      </w:r>
    </w:p>
    <w:p>
      <w:pPr>
        <w:spacing w:after="40"/>
      </w:pPr>
      <w:r>
        <w:rPr>
          <w:b/>
          <w:bCs/>
          <w:sz w:val="19"/>
          <w:szCs w:val="19"/>
        </w:rPr>
        <w:t xml:space="preserve">Criterios de aceptación:</w:t>
      </w:r>
    </w:p>
    <w:p>
      <w:pPr>
        <w:pStyle w:val="ListParagraph"/>
        <w:numPr>
          <w:ilvl w:val="0"/>
          <w:numId w:val="2"/>
        </w:numPr>
        <w:spacing w:after="60"/>
      </w:pPr>
      <w:r>
        <w:rPr>
          <w:sz w:val="19"/>
          <w:szCs w:val="19"/>
        </w:rPr>
        <w:t xml:space="preserve">El reporte se genera en el formato y periodicidad configurados (ej. mensual).</w:t>
      </w:r>
    </w:p>
    <w:p>
      <w:pPr>
        <w:pStyle w:val="ListParagraph"/>
        <w:numPr>
          <w:ilvl w:val="0"/>
          <w:numId w:val="2"/>
        </w:numPr>
        <w:spacing w:after="60"/>
      </w:pPr>
      <w:r>
        <w:rPr>
          <w:sz w:val="19"/>
          <w:szCs w:val="19"/>
        </w:rPr>
        <w:t xml:space="preserve">Incluye resumen de lecturas, alertas activas del periodo y estado de instrumentos.</w:t>
      </w:r>
    </w:p>
    <w:p>
      <w:pPr>
        <w:pStyle w:val="ListParagraph"/>
        <w:numPr>
          <w:ilvl w:val="0"/>
          <w:numId w:val="2"/>
        </w:numPr>
        <w:spacing w:after="60"/>
      </w:pPr>
      <w:r>
        <w:rPr>
          <w:sz w:val="19"/>
          <w:szCs w:val="19"/>
        </w:rPr>
        <w:t xml:space="preserve">El reporte generado queda archivado con fecha de emisión para trazabilidad.</w:t>
      </w:r>
    </w:p>
    <w:p>
      <w:pPr>
        <w:pStyle w:val="Heading1"/>
        <w:spacing w:after="160" w:before="320"/>
      </w:pPr>
      <w:r>
        <w:t xml:space="preserve">6. Priorización sugerida (fases)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400"/>
      </w:tblGrid>
      <w:tr>
        <w:trPr>
          <w:tblHeader/>
        </w:trPr>
        <w:tc>
          <w:tcPr>
            <w:tcW w:type="dxa" w:w="1800"/>
            <w:shd w:fill="1F3864" w:val="clear"/>
            <w:tcMar>
              <w:top w:type="dxa" w:w="80"/>
              <w:left w:type="dxa" w:w="100"/>
              <w:bottom w:type="dxa" w:w="80"/>
              <w:right w:type="dxa" w:w="100"/>
            </w:tcMar>
          </w:tcPr>
          <w:p>
            <w:pPr>
              <w:jc w:val="left"/>
            </w:pPr>
            <w:r>
              <w:rPr>
                <w:b/>
                <w:bCs/>
                <w:color w:val="FFFFFF"/>
                <w:sz w:val="19"/>
                <w:szCs w:val="19"/>
              </w:rPr>
              <w:t xml:space="preserve">Fase</w:t>
            </w:r>
          </w:p>
        </w:tc>
        <w:tc>
          <w:tcPr>
            <w:tcW w:type="dxa" w:w="4200"/>
            <w:shd w:fill="1F3864" w:val="clear"/>
            <w:tcMar>
              <w:top w:type="dxa" w:w="80"/>
              <w:left w:type="dxa" w:w="100"/>
              <w:bottom w:type="dxa" w:w="80"/>
              <w:right w:type="dxa" w:w="100"/>
            </w:tcMar>
          </w:tcPr>
          <w:p>
            <w:pPr>
              <w:jc w:val="left"/>
            </w:pPr>
            <w:r>
              <w:rPr>
                <w:b/>
                <w:bCs/>
                <w:color w:val="FFFFFF"/>
                <w:sz w:val="19"/>
                <w:szCs w:val="19"/>
              </w:rPr>
              <w:t xml:space="preserve">Alcance</w:t>
            </w:r>
          </w:p>
        </w:tc>
        <w:tc>
          <w:tcPr>
            <w:tcW w:type="dxa" w:w="4400"/>
            <w:shd w:fill="1F3864" w:val="clear"/>
            <w:tcMar>
              <w:top w:type="dxa" w:w="80"/>
              <w:left w:type="dxa" w:w="100"/>
              <w:bottom w:type="dxa" w:w="80"/>
              <w:right w:type="dxa" w:w="100"/>
            </w:tcMar>
          </w:tcPr>
          <w:p>
            <w:pPr>
              <w:jc w:val="left"/>
            </w:pPr>
            <w:r>
              <w:rPr>
                <w:b/>
                <w:bCs/>
                <w:color w:val="FFFFFF"/>
                <w:sz w:val="19"/>
                <w:szCs w:val="19"/>
              </w:rPr>
              <w:t xml:space="preserve">Instrumentos</w:t>
            </w:r>
          </w:p>
        </w:tc>
      </w:tr>
      <w:tr>
        <w:tc>
          <w:tcPr>
            <w:tcW w:type="dxa" w:w="1800"/>
            <w:tcMar>
              <w:top w:type="dxa" w:w="80"/>
              <w:left w:type="dxa" w:w="100"/>
              <w:bottom w:type="dxa" w:w="80"/>
              <w:right w:type="dxa" w:w="100"/>
            </w:tcMar>
          </w:tcPr>
          <w:p>
            <w:pPr>
              <w:jc w:val="left"/>
            </w:pPr>
            <w:r>
              <w:rPr>
                <w:b w:val="false"/>
                <w:bCs w:val="false"/>
                <w:sz w:val="19"/>
                <w:szCs w:val="19"/>
              </w:rPr>
              <w:t xml:space="preserve">Fase 1 — MVP</w:t>
            </w:r>
          </w:p>
        </w:tc>
        <w:tc>
          <w:tcPr>
            <w:tcW w:type="dxa" w:w="4200"/>
            <w:tcMar>
              <w:top w:type="dxa" w:w="80"/>
              <w:left w:type="dxa" w:w="100"/>
              <w:bottom w:type="dxa" w:w="80"/>
              <w:right w:type="dxa" w:w="100"/>
            </w:tcMar>
          </w:tcPr>
          <w:p>
            <w:pPr>
              <w:jc w:val="left"/>
            </w:pPr>
            <w:r>
              <w:rPr>
                <w:b w:val="false"/>
                <w:bCs w:val="false"/>
                <w:sz w:val="19"/>
                <w:szCs w:val="19"/>
              </w:rPr>
              <w:t xml:space="preserve">Ingesta de telemetría vigente, carga de línea base, umbrales y alertas básicas</w:t>
            </w:r>
          </w:p>
        </w:tc>
        <w:tc>
          <w:tcPr>
            <w:tcW w:type="dxa" w:w="4400"/>
            <w:tcMar>
              <w:top w:type="dxa" w:w="80"/>
              <w:left w:type="dxa" w:w="100"/>
              <w:bottom w:type="dxa" w:w="80"/>
              <w:right w:type="dxa" w:w="100"/>
            </w:tcMar>
          </w:tcPr>
          <w:p>
            <w:pPr>
              <w:jc w:val="left"/>
            </w:pPr>
            <w:r>
              <w:rPr>
                <w:b w:val="false"/>
                <w:bCs w:val="false"/>
                <w:sz w:val="19"/>
                <w:szCs w:val="19"/>
              </w:rPr>
              <w:t xml:space="preserve">Piezómetros e inclinómetros</w:t>
            </w:r>
          </w:p>
        </w:tc>
      </w:tr>
      <w:tr>
        <w:tc>
          <w:tcPr>
            <w:tcW w:type="dxa" w:w="1800"/>
            <w:tcMar>
              <w:top w:type="dxa" w:w="80"/>
              <w:left w:type="dxa" w:w="100"/>
              <w:bottom w:type="dxa" w:w="80"/>
              <w:right w:type="dxa" w:w="100"/>
            </w:tcMar>
          </w:tcPr>
          <w:p>
            <w:pPr>
              <w:jc w:val="left"/>
            </w:pPr>
            <w:r>
              <w:rPr>
                <w:b w:val="false"/>
                <w:bCs w:val="false"/>
                <w:sz w:val="19"/>
                <w:szCs w:val="19"/>
              </w:rPr>
              <w:t xml:space="preserve">Fase 2</w:t>
            </w:r>
          </w:p>
        </w:tc>
        <w:tc>
          <w:tcPr>
            <w:tcW w:type="dxa" w:w="4200"/>
            <w:tcMar>
              <w:top w:type="dxa" w:w="80"/>
              <w:left w:type="dxa" w:w="100"/>
              <w:bottom w:type="dxa" w:w="80"/>
              <w:right w:type="dxa" w:w="100"/>
            </w:tcMar>
          </w:tcPr>
          <w:p>
            <w:pPr>
              <w:jc w:val="left"/>
            </w:pPr>
            <w:r>
              <w:rPr>
                <w:b w:val="false"/>
                <w:bCs w:val="false"/>
                <w:sz w:val="19"/>
                <w:szCs w:val="19"/>
              </w:rPr>
              <w:t xml:space="preserve">Vista de sección instrumentada, reportería automatizada</w:t>
            </w:r>
          </w:p>
        </w:tc>
        <w:tc>
          <w:tcPr>
            <w:tcW w:type="dxa" w:w="4400"/>
            <w:tcMar>
              <w:top w:type="dxa" w:w="80"/>
              <w:left w:type="dxa" w:w="100"/>
              <w:bottom w:type="dxa" w:w="80"/>
              <w:right w:type="dxa" w:w="100"/>
            </w:tcMar>
          </w:tcPr>
          <w:p>
            <w:pPr>
              <w:jc w:val="left"/>
            </w:pPr>
            <w:r>
              <w:rPr>
                <w:b w:val="false"/>
                <w:bCs w:val="false"/>
                <w:sz w:val="19"/>
                <w:szCs w:val="19"/>
              </w:rPr>
              <w:t xml:space="preserve">Piezómetros, inclinómetros, celdas de asentamiento</w:t>
            </w:r>
          </w:p>
        </w:tc>
      </w:tr>
      <w:tr>
        <w:tc>
          <w:tcPr>
            <w:tcW w:type="dxa" w:w="1800"/>
            <w:tcMar>
              <w:top w:type="dxa" w:w="80"/>
              <w:left w:type="dxa" w:w="100"/>
              <w:bottom w:type="dxa" w:w="80"/>
              <w:right w:type="dxa" w:w="100"/>
            </w:tcMar>
          </w:tcPr>
          <w:p>
            <w:pPr>
              <w:jc w:val="left"/>
            </w:pPr>
            <w:r>
              <w:rPr>
                <w:b w:val="false"/>
                <w:bCs w:val="false"/>
                <w:sz w:val="19"/>
                <w:szCs w:val="19"/>
              </w:rPr>
              <w:t xml:space="preserve">Fase 3</w:t>
            </w:r>
          </w:p>
        </w:tc>
        <w:tc>
          <w:tcPr>
            <w:tcW w:type="dxa" w:w="4200"/>
            <w:tcMar>
              <w:top w:type="dxa" w:w="80"/>
              <w:left w:type="dxa" w:w="100"/>
              <w:bottom w:type="dxa" w:w="80"/>
              <w:right w:type="dxa" w:w="100"/>
            </w:tcMar>
          </w:tcPr>
          <w:p>
            <w:pPr>
              <w:jc w:val="left"/>
            </w:pPr>
            <w:r>
              <w:rPr>
                <w:b w:val="false"/>
                <w:bCs w:val="false"/>
                <w:sz w:val="19"/>
                <w:szCs w:val="19"/>
              </w:rPr>
              <w:t xml:space="preserve">Capa InSAR y registro de eventos sísmicos</w:t>
            </w:r>
          </w:p>
        </w:tc>
        <w:tc>
          <w:tcPr>
            <w:tcW w:type="dxa" w:w="4400"/>
            <w:tcMar>
              <w:top w:type="dxa" w:w="80"/>
              <w:left w:type="dxa" w:w="100"/>
              <w:bottom w:type="dxa" w:w="80"/>
              <w:right w:type="dxa" w:w="100"/>
            </w:tcMar>
          </w:tcPr>
          <w:p>
            <w:pPr>
              <w:jc w:val="left"/>
            </w:pPr>
            <w:r>
              <w:rPr>
                <w:b w:val="false"/>
                <w:bCs w:val="false"/>
                <w:sz w:val="19"/>
                <w:szCs w:val="19"/>
              </w:rPr>
              <w:t xml:space="preserve">InSAR y acelerógrafos</w:t>
            </w:r>
          </w:p>
        </w:tc>
      </w:tr>
    </w:tbl>
    <w:p>
      <w:pPr>
        <w:spacing w:after="120"/>
      </w:pPr>
      <w:r>
        <w:rPr>
          <w:i/>
          <w:iCs/>
          <w:color w:val="5F5E5A"/>
          <w:sz w:val="19"/>
          <w:szCs w:val="19"/>
        </w:rPr>
        <w:t xml:space="preserve">Se recomienda iniciar por piezómetros e inclinómetros al concentrar el mayor volumen de data histórica y ser los de mayor relevancia inmediata para la seguridad de presas; InSAR y acelerógrafos, por su naturaleza de datos distinta (ráster/eventos discretos), se sugieren para una segunda etapa.</w:t>
      </w:r>
    </w:p>
    <w:p>
      <w:pPr>
        <w:pStyle w:val="Heading1"/>
        <w:spacing w:after="160" w:before="320"/>
      </w:pPr>
      <w:r>
        <w:t xml:space="preserve">7. Anexo — Catálogo de instrumentos y unidades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40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Instrumento</w:t>
            </w:r>
          </w:p>
        </w:tc>
        <w:tc>
          <w:tcPr>
            <w:tcW w:type="dxa" w:w="2600"/>
            <w:shd w:fill="1F3864" w:val="clear"/>
            <w:tcMar>
              <w:top w:type="dxa" w:w="80"/>
              <w:left w:type="dxa" w:w="100"/>
              <w:bottom w:type="dxa" w:w="80"/>
              <w:right w:type="dxa" w:w="100"/>
            </w:tcMar>
          </w:tcPr>
          <w:p>
            <w:pPr>
              <w:jc w:val="left"/>
            </w:pPr>
            <w:r>
              <w:rPr>
                <w:b/>
                <w:bCs/>
                <w:color w:val="FFFFFF"/>
                <w:sz w:val="19"/>
                <w:szCs w:val="19"/>
              </w:rPr>
              <w:t xml:space="preserve">Variable medida</w:t>
            </w:r>
          </w:p>
        </w:tc>
        <w:tc>
          <w:tcPr>
            <w:tcW w:type="dxa" w:w="1800"/>
            <w:shd w:fill="1F3864" w:val="clear"/>
            <w:tcMar>
              <w:top w:type="dxa" w:w="80"/>
              <w:left w:type="dxa" w:w="100"/>
              <w:bottom w:type="dxa" w:w="80"/>
              <w:right w:type="dxa" w:w="100"/>
            </w:tcMar>
          </w:tcPr>
          <w:p>
            <w:pPr>
              <w:jc w:val="left"/>
            </w:pPr>
            <w:r>
              <w:rPr>
                <w:b/>
                <w:bCs/>
                <w:color w:val="FFFFFF"/>
                <w:sz w:val="19"/>
                <w:szCs w:val="19"/>
              </w:rPr>
              <w:t xml:space="preserve">Unidad típica</w:t>
            </w:r>
          </w:p>
        </w:tc>
        <w:tc>
          <w:tcPr>
            <w:tcW w:type="dxa" w:w="2400"/>
            <w:shd w:fill="1F3864" w:val="clear"/>
            <w:tcMar>
              <w:top w:type="dxa" w:w="80"/>
              <w:left w:type="dxa" w:w="100"/>
              <w:bottom w:type="dxa" w:w="80"/>
              <w:right w:type="dxa" w:w="100"/>
            </w:tcMar>
          </w:tcPr>
          <w:p>
            <w:pPr>
              <w:jc w:val="left"/>
            </w:pPr>
            <w:r>
              <w:rPr>
                <w:b/>
                <w:bCs/>
                <w:color w:val="FFFFFF"/>
                <w:sz w:val="19"/>
                <w:szCs w:val="19"/>
              </w:rPr>
              <w:t xml:space="preserve">Frecuencia de lectura</w:t>
            </w:r>
          </w:p>
        </w:tc>
      </w:tr>
      <w:tr>
        <w:tc>
          <w:tcPr>
            <w:tcW w:type="dxa" w:w="2600"/>
            <w:tcMar>
              <w:top w:type="dxa" w:w="80"/>
              <w:left w:type="dxa" w:w="100"/>
              <w:bottom w:type="dxa" w:w="80"/>
              <w:right w:type="dxa" w:w="100"/>
            </w:tcMar>
          </w:tcPr>
          <w:p>
            <w:pPr>
              <w:jc w:val="left"/>
            </w:pPr>
            <w:r>
              <w:rPr>
                <w:b w:val="false"/>
                <w:bCs w:val="false"/>
                <w:sz w:val="19"/>
                <w:szCs w:val="19"/>
              </w:rPr>
              <w:t xml:space="preserve">Piezómetro Casagrande</w:t>
            </w:r>
          </w:p>
        </w:tc>
        <w:tc>
          <w:tcPr>
            <w:tcW w:type="dxa" w:w="2600"/>
            <w:tcMar>
              <w:top w:type="dxa" w:w="80"/>
              <w:left w:type="dxa" w:w="100"/>
              <w:bottom w:type="dxa" w:w="80"/>
              <w:right w:type="dxa" w:w="100"/>
            </w:tcMar>
          </w:tcPr>
          <w:p>
            <w:pPr>
              <w:jc w:val="left"/>
            </w:pPr>
            <w:r>
              <w:rPr>
                <w:b w:val="false"/>
                <w:bCs w:val="false"/>
                <w:sz w:val="19"/>
                <w:szCs w:val="19"/>
              </w:rPr>
              <w:t xml:space="preserve">Nivel piezométrico</w:t>
            </w:r>
          </w:p>
        </w:tc>
        <w:tc>
          <w:tcPr>
            <w:tcW w:type="dxa" w:w="1800"/>
            <w:tcMar>
              <w:top w:type="dxa" w:w="80"/>
              <w:left w:type="dxa" w:w="100"/>
              <w:bottom w:type="dxa" w:w="80"/>
              <w:right w:type="dxa" w:w="100"/>
            </w:tcMar>
          </w:tcPr>
          <w:p>
            <w:pPr>
              <w:jc w:val="left"/>
            </w:pPr>
            <w:r>
              <w:rPr>
                <w:b w:val="false"/>
                <w:bCs w:val="false"/>
                <w:sz w:val="19"/>
                <w:szCs w:val="19"/>
              </w:rPr>
              <w:t xml:space="preserve">m.c.a. / kPa</w:t>
            </w:r>
          </w:p>
        </w:tc>
        <w:tc>
          <w:tcPr>
            <w:tcW w:type="dxa" w:w="2400"/>
            <w:tcMar>
              <w:top w:type="dxa" w:w="80"/>
              <w:left w:type="dxa" w:w="100"/>
              <w:bottom w:type="dxa" w:w="80"/>
              <w:right w:type="dxa" w:w="100"/>
            </w:tcMar>
          </w:tcPr>
          <w:p>
            <w:pPr>
              <w:jc w:val="left"/>
            </w:pPr>
            <w:r>
              <w:rPr>
                <w:b w:val="false"/>
                <w:bCs w:val="false"/>
                <w:sz w:val="19"/>
                <w:szCs w:val="19"/>
              </w:rPr>
              <w:t xml:space="preserve">Manual, periódica</w:t>
            </w:r>
          </w:p>
        </w:tc>
      </w:tr>
      <w:tr>
        <w:tc>
          <w:tcPr>
            <w:tcW w:type="dxa" w:w="2600"/>
            <w:tcMar>
              <w:top w:type="dxa" w:w="80"/>
              <w:left w:type="dxa" w:w="100"/>
              <w:bottom w:type="dxa" w:w="80"/>
              <w:right w:type="dxa" w:w="100"/>
            </w:tcMar>
          </w:tcPr>
          <w:p>
            <w:pPr>
              <w:jc w:val="left"/>
            </w:pPr>
            <w:r>
              <w:rPr>
                <w:b w:val="false"/>
                <w:bCs w:val="false"/>
                <w:sz w:val="19"/>
                <w:szCs w:val="19"/>
              </w:rPr>
              <w:t xml:space="preserve">Piezómetro de cuerda vibrante</w:t>
            </w:r>
          </w:p>
        </w:tc>
        <w:tc>
          <w:tcPr>
            <w:tcW w:type="dxa" w:w="2600"/>
            <w:tcMar>
              <w:top w:type="dxa" w:w="80"/>
              <w:left w:type="dxa" w:w="100"/>
              <w:bottom w:type="dxa" w:w="80"/>
              <w:right w:type="dxa" w:w="100"/>
            </w:tcMar>
          </w:tcPr>
          <w:p>
            <w:pPr>
              <w:jc w:val="left"/>
            </w:pPr>
            <w:r>
              <w:rPr>
                <w:b w:val="false"/>
                <w:bCs w:val="false"/>
                <w:sz w:val="19"/>
                <w:szCs w:val="19"/>
              </w:rPr>
              <w:t xml:space="preserve">Presión de poros</w:t>
            </w:r>
          </w:p>
        </w:tc>
        <w:tc>
          <w:tcPr>
            <w:tcW w:type="dxa" w:w="1800"/>
            <w:tcMar>
              <w:top w:type="dxa" w:w="80"/>
              <w:left w:type="dxa" w:w="100"/>
              <w:bottom w:type="dxa" w:w="80"/>
              <w:right w:type="dxa" w:w="100"/>
            </w:tcMar>
          </w:tcPr>
          <w:p>
            <w:pPr>
              <w:jc w:val="left"/>
            </w:pPr>
            <w:r>
              <w:rPr>
                <w:b w:val="false"/>
                <w:bCs w:val="false"/>
                <w:sz w:val="19"/>
                <w:szCs w:val="19"/>
              </w:rPr>
              <w:t xml:space="preserve">kPa</w:t>
            </w:r>
          </w:p>
        </w:tc>
        <w:tc>
          <w:tcPr>
            <w:tcW w:type="dxa" w:w="2400"/>
            <w:tcMar>
              <w:top w:type="dxa" w:w="80"/>
              <w:left w:type="dxa" w:w="100"/>
              <w:bottom w:type="dxa" w:w="80"/>
              <w:right w:type="dxa" w:w="100"/>
            </w:tcMar>
          </w:tcPr>
          <w:p>
            <w:pPr>
              <w:jc w:val="left"/>
            </w:pPr>
            <w:r>
              <w:rPr>
                <w:b w:val="false"/>
                <w:bCs w:val="false"/>
                <w:sz w:val="19"/>
                <w:szCs w:val="19"/>
              </w:rPr>
              <w:t xml:space="preserve">Automática, continua</w:t>
            </w:r>
          </w:p>
        </w:tc>
      </w:tr>
      <w:tr>
        <w:tc>
          <w:tcPr>
            <w:tcW w:type="dxa" w:w="2600"/>
            <w:tcMar>
              <w:top w:type="dxa" w:w="80"/>
              <w:left w:type="dxa" w:w="100"/>
              <w:bottom w:type="dxa" w:w="80"/>
              <w:right w:type="dxa" w:w="100"/>
            </w:tcMar>
          </w:tcPr>
          <w:p>
            <w:pPr>
              <w:jc w:val="left"/>
            </w:pPr>
            <w:r>
              <w:rPr>
                <w:b w:val="false"/>
                <w:bCs w:val="false"/>
                <w:sz w:val="19"/>
                <w:szCs w:val="19"/>
              </w:rPr>
              <w:t xml:space="preserve">Inclinómetro</w:t>
            </w:r>
          </w:p>
        </w:tc>
        <w:tc>
          <w:tcPr>
            <w:tcW w:type="dxa" w:w="2600"/>
            <w:tcMar>
              <w:top w:type="dxa" w:w="80"/>
              <w:left w:type="dxa" w:w="100"/>
              <w:bottom w:type="dxa" w:w="80"/>
              <w:right w:type="dxa" w:w="100"/>
            </w:tcMar>
          </w:tcPr>
          <w:p>
            <w:pPr>
              <w:jc w:val="left"/>
            </w:pPr>
            <w:r>
              <w:rPr>
                <w:b w:val="false"/>
                <w:bCs w:val="false"/>
                <w:sz w:val="19"/>
                <w:szCs w:val="19"/>
              </w:rPr>
              <w:t xml:space="preserve">Desplazamiento lateral por profundidad</w:t>
            </w:r>
          </w:p>
        </w:tc>
        <w:tc>
          <w:tcPr>
            <w:tcW w:type="dxa" w:w="1800"/>
            <w:tcMar>
              <w:top w:type="dxa" w:w="80"/>
              <w:left w:type="dxa" w:w="100"/>
              <w:bottom w:type="dxa" w:w="80"/>
              <w:right w:type="dxa" w:w="100"/>
            </w:tcMar>
          </w:tcPr>
          <w:p>
            <w:pPr>
              <w:jc w:val="left"/>
            </w:pPr>
            <w:r>
              <w:rPr>
                <w:b w:val="false"/>
                <w:bCs w:val="false"/>
                <w:sz w:val="19"/>
                <w:szCs w:val="19"/>
              </w:rPr>
              <w:t xml:space="preserve">mm</w:t>
            </w:r>
          </w:p>
        </w:tc>
        <w:tc>
          <w:tcPr>
            <w:tcW w:type="dxa" w:w="2400"/>
            <w:tcMar>
              <w:top w:type="dxa" w:w="80"/>
              <w:left w:type="dxa" w:w="100"/>
              <w:bottom w:type="dxa" w:w="80"/>
              <w:right w:type="dxa" w:w="100"/>
            </w:tcMar>
          </w:tcPr>
          <w:p>
            <w:pPr>
              <w:jc w:val="left"/>
            </w:pPr>
            <w:r>
              <w:rPr>
                <w:b w:val="false"/>
                <w:bCs w:val="false"/>
                <w:sz w:val="19"/>
                <w:szCs w:val="19"/>
              </w:rPr>
              <w:t xml:space="preserve">Automática o manual periódica</w:t>
            </w:r>
          </w:p>
        </w:tc>
      </w:tr>
      <w:tr>
        <w:tc>
          <w:tcPr>
            <w:tcW w:type="dxa" w:w="2600"/>
            <w:tcMar>
              <w:top w:type="dxa" w:w="80"/>
              <w:left w:type="dxa" w:w="100"/>
              <w:bottom w:type="dxa" w:w="80"/>
              <w:right w:type="dxa" w:w="100"/>
            </w:tcMar>
          </w:tcPr>
          <w:p>
            <w:pPr>
              <w:jc w:val="left"/>
            </w:pPr>
            <w:r>
              <w:rPr>
                <w:b w:val="false"/>
                <w:bCs w:val="false"/>
                <w:sz w:val="19"/>
                <w:szCs w:val="19"/>
              </w:rPr>
              <w:t xml:space="preserve">Acelerógrafo</w:t>
            </w:r>
          </w:p>
        </w:tc>
        <w:tc>
          <w:tcPr>
            <w:tcW w:type="dxa" w:w="2600"/>
            <w:tcMar>
              <w:top w:type="dxa" w:w="80"/>
              <w:left w:type="dxa" w:w="100"/>
              <w:bottom w:type="dxa" w:w="80"/>
              <w:right w:type="dxa" w:w="100"/>
            </w:tcMar>
          </w:tcPr>
          <w:p>
            <w:pPr>
              <w:jc w:val="left"/>
            </w:pPr>
            <w:r>
              <w:rPr>
                <w:b w:val="false"/>
                <w:bCs w:val="false"/>
                <w:sz w:val="19"/>
                <w:szCs w:val="19"/>
              </w:rPr>
              <w:t xml:space="preserve">Aceleración sísmica</w:t>
            </w:r>
          </w:p>
        </w:tc>
        <w:tc>
          <w:tcPr>
            <w:tcW w:type="dxa" w:w="1800"/>
            <w:tcMar>
              <w:top w:type="dxa" w:w="80"/>
              <w:left w:type="dxa" w:w="100"/>
              <w:bottom w:type="dxa" w:w="80"/>
              <w:right w:type="dxa" w:w="100"/>
            </w:tcMar>
          </w:tcPr>
          <w:p>
            <w:pPr>
              <w:jc w:val="left"/>
            </w:pPr>
            <w:r>
              <w:rPr>
                <w:b w:val="false"/>
                <w:bCs w:val="false"/>
                <w:sz w:val="19"/>
                <w:szCs w:val="19"/>
              </w:rPr>
              <w:t xml:space="preserve">PGA (g)</w:t>
            </w:r>
          </w:p>
        </w:tc>
        <w:tc>
          <w:tcPr>
            <w:tcW w:type="dxa" w:w="2400"/>
            <w:tcMar>
              <w:top w:type="dxa" w:w="80"/>
              <w:left w:type="dxa" w:w="100"/>
              <w:bottom w:type="dxa" w:w="80"/>
              <w:right w:type="dxa" w:w="100"/>
            </w:tcMar>
          </w:tcPr>
          <w:p>
            <w:pPr>
              <w:jc w:val="left"/>
            </w:pPr>
            <w:r>
              <w:rPr>
                <w:b w:val="false"/>
                <w:bCs w:val="false"/>
                <w:sz w:val="19"/>
                <w:szCs w:val="19"/>
              </w:rPr>
              <w:t xml:space="preserve">Automática, por evento</w:t>
            </w:r>
          </w:p>
        </w:tc>
      </w:tr>
      <w:tr>
        <w:tc>
          <w:tcPr>
            <w:tcW w:type="dxa" w:w="2600"/>
            <w:tcMar>
              <w:top w:type="dxa" w:w="80"/>
              <w:left w:type="dxa" w:w="100"/>
              <w:bottom w:type="dxa" w:w="80"/>
              <w:right w:type="dxa" w:w="100"/>
            </w:tcMar>
          </w:tcPr>
          <w:p>
            <w:pPr>
              <w:jc w:val="left"/>
            </w:pPr>
            <w:r>
              <w:rPr>
                <w:b w:val="false"/>
                <w:bCs w:val="false"/>
                <w:sz w:val="19"/>
                <w:szCs w:val="19"/>
              </w:rPr>
              <w:t xml:space="preserve">InSAR</w:t>
            </w:r>
          </w:p>
        </w:tc>
        <w:tc>
          <w:tcPr>
            <w:tcW w:type="dxa" w:w="2600"/>
            <w:tcMar>
              <w:top w:type="dxa" w:w="80"/>
              <w:left w:type="dxa" w:w="100"/>
              <w:bottom w:type="dxa" w:w="80"/>
              <w:right w:type="dxa" w:w="100"/>
            </w:tcMar>
          </w:tcPr>
          <w:p>
            <w:pPr>
              <w:jc w:val="left"/>
            </w:pPr>
            <w:r>
              <w:rPr>
                <w:b w:val="false"/>
                <w:bCs w:val="false"/>
                <w:sz w:val="19"/>
                <w:szCs w:val="19"/>
              </w:rPr>
              <w:t xml:space="preserve">Deformación superficial</w:t>
            </w:r>
          </w:p>
        </w:tc>
        <w:tc>
          <w:tcPr>
            <w:tcW w:type="dxa" w:w="1800"/>
            <w:tcMar>
              <w:top w:type="dxa" w:w="80"/>
              <w:left w:type="dxa" w:w="100"/>
              <w:bottom w:type="dxa" w:w="80"/>
              <w:right w:type="dxa" w:w="100"/>
            </w:tcMar>
          </w:tcPr>
          <w:p>
            <w:pPr>
              <w:jc w:val="left"/>
            </w:pPr>
            <w:r>
              <w:rPr>
                <w:b w:val="false"/>
                <w:bCs w:val="false"/>
                <w:sz w:val="19"/>
                <w:szCs w:val="19"/>
              </w:rPr>
              <w:t xml:space="preserve">mm/año</w:t>
            </w:r>
          </w:p>
        </w:tc>
        <w:tc>
          <w:tcPr>
            <w:tcW w:type="dxa" w:w="2400"/>
            <w:tcMar>
              <w:top w:type="dxa" w:w="80"/>
              <w:left w:type="dxa" w:w="100"/>
              <w:bottom w:type="dxa" w:w="80"/>
              <w:right w:type="dxa" w:w="100"/>
            </w:tcMar>
          </w:tcPr>
          <w:p>
            <w:pPr>
              <w:jc w:val="left"/>
            </w:pPr>
            <w:r>
              <w:rPr>
                <w:b w:val="false"/>
                <w:bCs w:val="false"/>
                <w:sz w:val="19"/>
                <w:szCs w:val="19"/>
              </w:rPr>
              <w:t xml:space="preserve">Periódica (pasadas satelitales)</w:t>
            </w:r>
          </w:p>
        </w:tc>
      </w:tr>
      <w:tr>
        <w:tc>
          <w:tcPr>
            <w:tcW w:type="dxa" w:w="2600"/>
            <w:tcMar>
              <w:top w:type="dxa" w:w="80"/>
              <w:left w:type="dxa" w:w="100"/>
              <w:bottom w:type="dxa" w:w="80"/>
              <w:right w:type="dxa" w:w="100"/>
            </w:tcMar>
          </w:tcPr>
          <w:p>
            <w:pPr>
              <w:jc w:val="left"/>
            </w:pPr>
            <w:r>
              <w:rPr>
                <w:b w:val="false"/>
                <w:bCs w:val="false"/>
                <w:sz w:val="19"/>
                <w:szCs w:val="19"/>
              </w:rPr>
              <w:t xml:space="preserve">Celda de asentamiento</w:t>
            </w:r>
          </w:p>
        </w:tc>
        <w:tc>
          <w:tcPr>
            <w:tcW w:type="dxa" w:w="2600"/>
            <w:tcMar>
              <w:top w:type="dxa" w:w="80"/>
              <w:left w:type="dxa" w:w="100"/>
              <w:bottom w:type="dxa" w:w="80"/>
              <w:right w:type="dxa" w:w="100"/>
            </w:tcMar>
          </w:tcPr>
          <w:p>
            <w:pPr>
              <w:jc w:val="left"/>
            </w:pPr>
            <w:r>
              <w:rPr>
                <w:b w:val="false"/>
                <w:bCs w:val="false"/>
                <w:sz w:val="19"/>
                <w:szCs w:val="19"/>
              </w:rPr>
              <w:t xml:space="preserve">Asentamiento vertical</w:t>
            </w:r>
          </w:p>
        </w:tc>
        <w:tc>
          <w:tcPr>
            <w:tcW w:type="dxa" w:w="1800"/>
            <w:tcMar>
              <w:top w:type="dxa" w:w="80"/>
              <w:left w:type="dxa" w:w="100"/>
              <w:bottom w:type="dxa" w:w="80"/>
              <w:right w:type="dxa" w:w="100"/>
            </w:tcMar>
          </w:tcPr>
          <w:p>
            <w:pPr>
              <w:jc w:val="left"/>
            </w:pPr>
            <w:r>
              <w:rPr>
                <w:b w:val="false"/>
                <w:bCs w:val="false"/>
                <w:sz w:val="19"/>
                <w:szCs w:val="19"/>
              </w:rPr>
              <w:t xml:space="preserve">mm</w:t>
            </w:r>
          </w:p>
        </w:tc>
        <w:tc>
          <w:tcPr>
            <w:tcW w:type="dxa" w:w="2400"/>
            <w:tcMar>
              <w:top w:type="dxa" w:w="80"/>
              <w:left w:type="dxa" w:w="100"/>
              <w:bottom w:type="dxa" w:w="80"/>
              <w:right w:type="dxa" w:w="100"/>
            </w:tcMar>
          </w:tcPr>
          <w:p>
            <w:pPr>
              <w:jc w:val="left"/>
            </w:pPr>
            <w:r>
              <w:rPr>
                <w:b w:val="false"/>
                <w:bCs w:val="false"/>
                <w:sz w:val="19"/>
                <w:szCs w:val="19"/>
              </w:rPr>
              <w:t xml:space="preserve">Automática, continua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2026-08-16T15:22:22.441Z</dcterms:created>
  <dcterms:modified xsi:type="dcterms:W3CDTF">2026-08-16T15:22:22.441Z</dcterms:modified>
</cp:coreProperties>
</file>

<file path=docProps/custom.xml><?xml version="1.0" encoding="utf-8"?>
<Properties xmlns="http://schemas.openxmlformats.org/officeDocument/2006/custom-properties" xmlns:vt="http://schemas.openxmlformats.org/officeDocument/2006/docPropsVTypes"/>
</file>