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WeKall Intelligence</w:t>
      </w:r>
    </w:p>
    <w:p>
      <w:pPr>
        <w:jc w:val="center"/>
      </w:pPr>
      <w:r>
        <w:rPr>
          <w:color w:val="6334C0"/>
        </w:rPr>
        <w:t>Guía de valor para CEO / Gerente General / Director de Operaciones</w:t>
      </w:r>
    </w:p>
    <w:p>
      <w:r>
        <w:t>Versión 22.0 | 14 de abril de 2026 | Calificación: ⭐⭐⭐⭐⭐ 5/5</w:t>
      </w:r>
    </w:p>
    <w:p>
      <w:pPr>
        <w:pStyle w:val="Heading1"/>
      </w:pPr>
      <w:r>
        <w:t>1. ¿Qué hace WeKall Intelligence para este rol?</w:t>
      </w:r>
    </w:p>
    <w:p>
      <w:r>
        <w:t>WeKall Intelligence es la plataforma de inteligencia operativa para contact centers de cobranzas. Permite al CEO tomar decisiones basadas en datos reales — no en reportes del día siguiente. Con 822 días de CDR histórico, 12 millones de registros y análisis de transcripciones con IA, el ejecutivo responde en segundos preguntas que antes tomaban días.</w:t>
      </w:r>
    </w:p>
    <w:p>
      <w:r>
        <w:t>Tres capacidades únicas en LATAM: (1) Motor EBITDA que traduce cualquier mejora operativa a COP, (2) Vicky Insights — IA conversacional con benchmarks COPC/SQM/E&amp;Y/MetricNet, y (3) análisis multi-agente con ranking, percentiles P25-P90 y coaching automático.</w:t>
      </w:r>
    </w:p>
    <w:p>
      <w:pPr>
        <w:pStyle w:val="Heading1"/>
      </w:pPr>
      <w:r>
        <w:t>2. Top 20 consultas de valor para CEO / Operaciones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Consulta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entrega Vicky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CEO-01</w:t>
            </w:r>
          </w:p>
        </w:tc>
        <w:tc>
          <w:tcPr>
            <w:tcW w:type="dxa" w:w="2880"/>
          </w:tcPr>
          <w:p>
            <w:r>
              <w:t>¿Cómo estuvo la operación hoy?</w:t>
            </w:r>
          </w:p>
        </w:tc>
        <w:tc>
          <w:tcPr>
            <w:tcW w:type="dxa" w:w="2880"/>
          </w:tcPr>
          <w:p>
            <w:r>
              <w:t>Dashboard: llamadas, tasa contacto, AHT vs benchmark COPC</w:t>
            </w:r>
          </w:p>
        </w:tc>
      </w:tr>
      <w:tr>
        <w:tc>
          <w:tcPr>
            <w:tcW w:type="dxa" w:w="2880"/>
          </w:tcPr>
          <w:p>
            <w:r>
              <w:t>CEO-02</w:t>
            </w:r>
          </w:p>
        </w:tc>
        <w:tc>
          <w:tcPr>
            <w:tcW w:type="dxa" w:w="2880"/>
          </w:tcPr>
          <w:p>
            <w:r>
              <w:t>¿Cuál fue nuestro mejor día del mes y por qué?</w:t>
            </w:r>
          </w:p>
        </w:tc>
        <w:tc>
          <w:tcPr>
            <w:tcW w:type="dxa" w:w="2880"/>
          </w:tcPr>
          <w:p>
            <w:r>
              <w:t>CDR histórico con factores explicativos (Dialer, campaña)</w:t>
            </w:r>
          </w:p>
        </w:tc>
      </w:tr>
      <w:tr>
        <w:tc>
          <w:tcPr>
            <w:tcW w:type="dxa" w:w="2880"/>
          </w:tcPr>
          <w:p>
            <w:r>
              <w:t>CEO-03</w:t>
            </w:r>
          </w:p>
        </w:tc>
        <w:tc>
          <w:tcPr>
            <w:tcW w:type="dxa" w:w="2880"/>
          </w:tcPr>
          <w:p>
            <w:r>
              <w:t>¿Qué pasa si reducimos el AHT de 8 a 6 minutos?</w:t>
            </w:r>
          </w:p>
        </w:tc>
        <w:tc>
          <w:tcPr>
            <w:tcW w:type="dxa" w:w="2880"/>
          </w:tcPr>
          <w:p>
            <w:r>
              <w:t>Motor EBITDA: ahorro COP/mes + promesas adicionales</w:t>
            </w:r>
          </w:p>
        </w:tc>
      </w:tr>
      <w:tr>
        <w:tc>
          <w:tcPr>
            <w:tcW w:type="dxa" w:w="2880"/>
          </w:tcPr>
          <w:p>
            <w:r>
              <w:t>CEO-04</w:t>
            </w:r>
          </w:p>
        </w:tc>
        <w:tc>
          <w:tcPr>
            <w:tcW w:type="dxa" w:w="2880"/>
          </w:tcPr>
          <w:p>
            <w:r>
              <w:t>¿Cuánto nos cuesta tener agentes en el peor cuartil?</w:t>
            </w:r>
          </w:p>
        </w:tc>
        <w:tc>
          <w:tcPr>
            <w:tcW w:type="dxa" w:w="2880"/>
          </w:tcPr>
          <w:p>
            <w:r>
              <w:t>Oportunidad P25→P50: revenue adicional estimado</w:t>
            </w:r>
          </w:p>
        </w:tc>
      </w:tr>
      <w:tr>
        <w:tc>
          <w:tcPr>
            <w:tcW w:type="dxa" w:w="2880"/>
          </w:tcPr>
          <w:p>
            <w:r>
              <w:t>CEO-05</w:t>
            </w:r>
          </w:p>
        </w:tc>
        <w:tc>
          <w:tcPr>
            <w:tcW w:type="dxa" w:w="2880"/>
          </w:tcPr>
          <w:p>
            <w:r>
              <w:t>¿Por qué cayó la tasa de contacto el lunes?</w:t>
            </w:r>
          </w:p>
        </w:tc>
        <w:tc>
          <w:tcPr>
            <w:tcW w:type="dxa" w:w="2880"/>
          </w:tcPr>
          <w:p>
            <w:r>
              <w:t>Análisis Dialer automático + volumen vs días anteriores</w:t>
            </w:r>
          </w:p>
        </w:tc>
      </w:tr>
      <w:tr>
        <w:tc>
          <w:tcPr>
            <w:tcW w:type="dxa" w:w="2880"/>
          </w:tcPr>
          <w:p>
            <w:r>
              <w:t>CEO-06</w:t>
            </w:r>
          </w:p>
        </w:tc>
        <w:tc>
          <w:tcPr>
            <w:tcW w:type="dxa" w:w="2880"/>
          </w:tcPr>
          <w:p>
            <w:r>
              <w:t>Compara esta semana con la anterior</w:t>
            </w:r>
          </w:p>
        </w:tc>
        <w:tc>
          <w:tcPr>
            <w:tcW w:type="dxa" w:w="2880"/>
          </w:tcPr>
          <w:p>
            <w:r>
              <w:t>Delta: volumen, contacto, AHT, promesas</w:t>
            </w:r>
          </w:p>
        </w:tc>
      </w:tr>
      <w:tr>
        <w:tc>
          <w:tcPr>
            <w:tcW w:type="dxa" w:w="2880"/>
          </w:tcPr>
          <w:p>
            <w:r>
              <w:t>CEO-07</w:t>
            </w:r>
          </w:p>
        </w:tc>
        <w:tc>
          <w:tcPr>
            <w:tcW w:type="dxa" w:w="2880"/>
          </w:tcPr>
          <w:p>
            <w:r>
              <w:t>¿Cuáles son mis 3 agentes más productivos?</w:t>
            </w:r>
          </w:p>
        </w:tc>
        <w:tc>
          <w:tcPr>
            <w:tcW w:type="dxa" w:w="2880"/>
          </w:tcPr>
          <w:p>
            <w:r>
              <w:t>Top 10 por llamadas/día con percentil COPC</w:t>
            </w:r>
          </w:p>
        </w:tc>
      </w:tr>
      <w:tr>
        <w:tc>
          <w:tcPr>
            <w:tcW w:type="dxa" w:w="2880"/>
          </w:tcPr>
          <w:p>
            <w:r>
              <w:t>CEO-08</w:t>
            </w:r>
          </w:p>
        </w:tc>
        <w:tc>
          <w:tcPr>
            <w:tcW w:type="dxa" w:w="2880"/>
          </w:tcPr>
          <w:p>
            <w:r>
              <w:t>¿Cuáles necesitan más coaching?</w:t>
            </w:r>
          </w:p>
        </w:tc>
        <w:tc>
          <w:tcPr>
            <w:tcW w:type="dxa" w:w="2880"/>
          </w:tcPr>
          <w:p>
            <w:r>
              <w:t>Bottom cuartil con brecha vs mediana y plan de acción</w:t>
            </w:r>
          </w:p>
        </w:tc>
      </w:tr>
      <w:tr>
        <w:tc>
          <w:tcPr>
            <w:tcW w:type="dxa" w:w="2880"/>
          </w:tcPr>
          <w:p>
            <w:r>
              <w:t>CEO-09</w:t>
            </w:r>
          </w:p>
        </w:tc>
        <w:tc>
          <w:tcPr>
            <w:tcW w:type="dxa" w:w="2880"/>
          </w:tcPr>
          <w:p>
            <w:r>
              <w:t>¿Cuál es nuestro benchmark vs industria?</w:t>
            </w:r>
          </w:p>
        </w:tc>
        <w:tc>
          <w:tcPr>
            <w:tcW w:type="dxa" w:w="2880"/>
          </w:tcPr>
          <w:p>
            <w:r>
              <w:t>COPC Latam: contacto 20-25%, AHT 5-8 min</w:t>
            </w:r>
          </w:p>
        </w:tc>
      </w:tr>
      <w:tr>
        <w:tc>
          <w:tcPr>
            <w:tcW w:type="dxa" w:w="2880"/>
          </w:tcPr>
          <w:p>
            <w:r>
              <w:t>CEO-10</w:t>
            </w:r>
          </w:p>
        </w:tc>
        <w:tc>
          <w:tcPr>
            <w:tcW w:type="dxa" w:w="2880"/>
          </w:tcPr>
          <w:p>
            <w:r>
              <w:t>¿Qué dicen los clientes que no pagan?</w:t>
            </w:r>
          </w:p>
        </w:tc>
        <w:tc>
          <w:tcPr>
            <w:tcW w:type="dxa" w:w="2880"/>
          </w:tcPr>
          <w:p>
            <w:r>
              <w:t>RAG de transcripciones: objeciones más frecuentes</w:t>
            </w:r>
          </w:p>
        </w:tc>
      </w:tr>
      <w:tr>
        <w:tc>
          <w:tcPr>
            <w:tcW w:type="dxa" w:w="2880"/>
          </w:tcPr>
          <w:p>
            <w:r>
              <w:t>CEO-11</w:t>
            </w:r>
          </w:p>
        </w:tc>
        <w:tc>
          <w:tcPr>
            <w:tcW w:type="dxa" w:w="2880"/>
          </w:tcPr>
          <w:p>
            <w:r>
              <w:t>¿Impacto de subir contacto al 55%?</w:t>
            </w:r>
          </w:p>
        </w:tc>
        <w:tc>
          <w:tcPr>
            <w:tcW w:type="dxa" w:w="2880"/>
          </w:tcPr>
          <w:p>
            <w:r>
              <w:t>Motor EBITDA: promesas adicionales/mes</w:t>
            </w:r>
          </w:p>
        </w:tc>
      </w:tr>
      <w:tr>
        <w:tc>
          <w:tcPr>
            <w:tcW w:type="dxa" w:w="2880"/>
          </w:tcPr>
          <w:p>
            <w:r>
              <w:t>CEO-12</w:t>
            </w:r>
          </w:p>
        </w:tc>
        <w:tc>
          <w:tcPr>
            <w:tcW w:type="dxa" w:w="2880"/>
          </w:tcPr>
          <w:p>
            <w:r>
              <w:t>Colombia vs Perú — ¿cómo estamos?</w:t>
            </w:r>
          </w:p>
        </w:tc>
        <w:tc>
          <w:tcPr>
            <w:tcW w:type="dxa" w:w="2880"/>
          </w:tcPr>
          <w:p>
            <w:r>
              <w:t>CDR por campaña: volumen, contacto, AHT</w:t>
            </w:r>
          </w:p>
        </w:tc>
      </w:tr>
      <w:tr>
        <w:tc>
          <w:tcPr>
            <w:tcW w:type="dxa" w:w="2880"/>
          </w:tcPr>
          <w:p>
            <w:r>
              <w:t>CEO-13</w:t>
            </w:r>
          </w:p>
        </w:tc>
        <w:tc>
          <w:tcPr>
            <w:tcW w:type="dxa" w:w="2880"/>
          </w:tcPr>
          <w:p>
            <w:r>
              <w:t>Dame el análisis ejecutivo de la semana</w:t>
            </w:r>
          </w:p>
        </w:tc>
        <w:tc>
          <w:tcPr>
            <w:tcW w:type="dxa" w:w="2880"/>
          </w:tcPr>
          <w:p>
            <w:r>
              <w:t>Sorpréndeme: análisis proactivo estilo Tableau Pulse</w:t>
            </w:r>
          </w:p>
        </w:tc>
      </w:tr>
      <w:tr>
        <w:tc>
          <w:tcPr>
            <w:tcW w:type="dxa" w:w="2880"/>
          </w:tcPr>
          <w:p>
            <w:r>
              <w:t>CEO-14</w:t>
            </w:r>
          </w:p>
        </w:tc>
        <w:tc>
          <w:tcPr>
            <w:tcW w:type="dxa" w:w="2880"/>
          </w:tcPr>
          <w:p>
            <w:r>
              <w:t>¿Cuántos agentes para 20% más volumen?</w:t>
            </w:r>
          </w:p>
        </w:tc>
        <w:tc>
          <w:tcPr>
            <w:tcW w:type="dxa" w:w="2880"/>
          </w:tcPr>
          <w:p>
            <w:r>
              <w:t>Cálculo headcount con costo en COP</w:t>
            </w:r>
          </w:p>
        </w:tc>
      </w:tr>
      <w:tr>
        <w:tc>
          <w:tcPr>
            <w:tcW w:type="dxa" w:w="2880"/>
          </w:tcPr>
          <w:p>
            <w:r>
              <w:t>CEO-15</w:t>
            </w:r>
          </w:p>
        </w:tc>
        <w:tc>
          <w:tcPr>
            <w:tcW w:type="dxa" w:w="2880"/>
          </w:tcPr>
          <w:p>
            <w:r>
              <w:t>¿Qué hace diferente el top agente?</w:t>
            </w:r>
          </w:p>
        </w:tc>
        <w:tc>
          <w:tcPr>
            <w:tcW w:type="dxa" w:w="2880"/>
          </w:tcPr>
          <w:p>
            <w:r>
              <w:t>RAG sobre transcripciones: frases y patrones de éxito</w:t>
            </w:r>
          </w:p>
        </w:tc>
      </w:tr>
      <w:tr>
        <w:tc>
          <w:tcPr>
            <w:tcW w:type="dxa" w:w="2880"/>
          </w:tcPr>
          <w:p>
            <w:r>
              <w:t>CEO-16</w:t>
            </w:r>
          </w:p>
        </w:tc>
        <w:tc>
          <w:tcPr>
            <w:tcW w:type="dxa" w:w="2880"/>
          </w:tcPr>
          <w:p>
            <w:r>
              <w:t>¿En qué hora tenemos más contactos?</w:t>
            </w:r>
          </w:p>
        </w:tc>
        <w:tc>
          <w:tcPr>
            <w:tcW w:type="dxa" w:w="2880"/>
          </w:tcPr>
          <w:p>
            <w:r>
              <w:t>CDR por hora: distribución de tasa de contacto</w:t>
            </w:r>
          </w:p>
        </w:tc>
      </w:tr>
      <w:tr>
        <w:tc>
          <w:tcPr>
            <w:tcW w:type="dxa" w:w="2880"/>
          </w:tcPr>
          <w:p>
            <w:r>
              <w:t>CEO-17</w:t>
            </w:r>
          </w:p>
        </w:tc>
        <w:tc>
          <w:tcPr>
            <w:tcW w:type="dxa" w:w="2880"/>
          </w:tcPr>
          <w:p>
            <w:r>
              <w:t>¿Hay anomalías en los datos de hoy?</w:t>
            </w:r>
          </w:p>
        </w:tc>
        <w:tc>
          <w:tcPr>
            <w:tcW w:type="dxa" w:w="2880"/>
          </w:tcPr>
          <w:p>
            <w:r>
              <w:t>Detección automática vs promedio 30 días (Z-score)</w:t>
            </w:r>
          </w:p>
        </w:tc>
      </w:tr>
      <w:tr>
        <w:tc>
          <w:tcPr>
            <w:tcW w:type="dxa" w:w="2880"/>
          </w:tcPr>
          <w:p>
            <w:r>
              <w:t>CEO-18</w:t>
            </w:r>
          </w:p>
        </w:tc>
        <w:tc>
          <w:tcPr>
            <w:tcW w:type="dxa" w:w="2880"/>
          </w:tcPr>
          <w:p>
            <w:r>
              <w:t>¿Cuál es nuestro FCR?</w:t>
            </w:r>
          </w:p>
        </w:tc>
        <w:tc>
          <w:tcPr>
            <w:tcW w:type="dxa" w:w="2880"/>
          </w:tcPr>
          <w:p>
            <w:r>
              <w:t>Proxy FCR desde transcripciones</w:t>
            </w:r>
          </w:p>
        </w:tc>
      </w:tr>
      <w:tr>
        <w:tc>
          <w:tcPr>
            <w:tcW w:type="dxa" w:w="2880"/>
          </w:tcPr>
          <w:p>
            <w:r>
              <w:t>CEO-19</w:t>
            </w:r>
          </w:p>
        </w:tc>
        <w:tc>
          <w:tcPr>
            <w:tcW w:type="dxa" w:w="2880"/>
          </w:tcPr>
          <w:p>
            <w:r>
              <w:t>Genera reporte PDF para el board</w:t>
            </w:r>
          </w:p>
        </w:tc>
        <w:tc>
          <w:tcPr>
            <w:tcW w:type="dxa" w:w="2880"/>
          </w:tcPr>
          <w:p>
            <w:r>
              <w:t>Dashboard con KPIs + insight proactivo exportado</w:t>
            </w:r>
          </w:p>
        </w:tc>
      </w:tr>
      <w:tr>
        <w:tc>
          <w:tcPr>
            <w:tcW w:type="dxa" w:w="2880"/>
          </w:tcPr>
          <w:p>
            <w:r>
              <w:t>CEO-20</w:t>
            </w:r>
          </w:p>
        </w:tc>
        <w:tc>
          <w:tcPr>
            <w:tcW w:type="dxa" w:w="2880"/>
          </w:tcPr>
          <w:p>
            <w:r>
              <w:t>¿Cómo estábamos hace un año vs hoy?</w:t>
            </w:r>
          </w:p>
        </w:tc>
        <w:tc>
          <w:tcPr>
            <w:tcW w:type="dxa" w:w="2880"/>
          </w:tcPr>
          <w:p>
            <w:r>
              <w:t>Year-over-year automático del CDR histórico</w:t>
            </w:r>
          </w:p>
        </w:tc>
      </w:tr>
    </w:tbl>
    <w:p/>
    <w:p>
      <w:pPr>
        <w:pStyle w:val="Heading1"/>
      </w:pPr>
      <w:r>
        <w:t>3. KPIs en el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KPI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Benchmark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Tasa de contacto efectivo</w:t>
            </w:r>
          </w:p>
        </w:tc>
        <w:tc>
          <w:tcPr>
            <w:tcW w:type="dxa" w:w="2880"/>
          </w:tcPr>
          <w:p>
            <w:r>
              <w:t>% llamadas que conectan</w:t>
            </w:r>
          </w:p>
        </w:tc>
        <w:tc>
          <w:tcPr>
            <w:tcW w:type="dxa" w:w="2880"/>
          </w:tcPr>
          <w:p>
            <w:r>
              <w:t>COPC Latam cobranzas: 20-25%</w:t>
            </w:r>
          </w:p>
        </w:tc>
      </w:tr>
      <w:tr>
        <w:tc>
          <w:tcPr>
            <w:tcW w:type="dxa" w:w="2880"/>
          </w:tcPr>
          <w:p>
            <w:r>
              <w:t>AHT</w:t>
            </w:r>
          </w:p>
        </w:tc>
        <w:tc>
          <w:tcPr>
            <w:tcW w:type="dxa" w:w="2880"/>
          </w:tcPr>
          <w:p>
            <w:r>
              <w:t>Tiempo medio de manejo</w:t>
            </w:r>
          </w:p>
        </w:tc>
        <w:tc>
          <w:tcPr>
            <w:tcW w:type="dxa" w:w="2880"/>
          </w:tcPr>
          <w:p>
            <w:r>
              <w:t>COPC: 5-8 min</w:t>
            </w:r>
          </w:p>
        </w:tc>
      </w:tr>
      <w:tr>
        <w:tc>
          <w:tcPr>
            <w:tcW w:type="dxa" w:w="2880"/>
          </w:tcPr>
          <w:p>
            <w:r>
              <w:t>Volumen de llamadas</w:t>
            </w:r>
          </w:p>
        </w:tc>
        <w:tc>
          <w:tcPr>
            <w:tcW w:type="dxa" w:w="2880"/>
          </w:tcPr>
          <w:p>
            <w:r>
              <w:t>Total llamadas del período</w:t>
            </w:r>
          </w:p>
        </w:tc>
        <w:tc>
          <w:tcPr>
            <w:tcW w:type="dxa" w:w="2880"/>
          </w:tcPr>
          <w:p>
            <w:r>
              <w:t>Benchmark sectorial</w:t>
            </w:r>
          </w:p>
        </w:tc>
      </w:tr>
      <w:tr>
        <w:tc>
          <w:tcPr>
            <w:tcW w:type="dxa" w:w="2880"/>
          </w:tcPr>
          <w:p>
            <w:r>
              <w:t>Promesas de pago</w:t>
            </w:r>
          </w:p>
        </w:tc>
        <w:tc>
          <w:tcPr>
            <w:tcW w:type="dxa" w:w="2880"/>
          </w:tcPr>
          <w:p>
            <w:r>
              <w:t>Contactos con compromiso</w:t>
            </w:r>
          </w:p>
        </w:tc>
        <w:tc>
          <w:tcPr>
            <w:tcW w:type="dxa" w:w="2880"/>
          </w:tcPr>
          <w:p>
            <w:r>
              <w:t>38-42% de contactos</w:t>
            </w:r>
          </w:p>
        </w:tc>
      </w:tr>
      <w:tr>
        <w:tc>
          <w:tcPr>
            <w:tcW w:type="dxa" w:w="2880"/>
          </w:tcPr>
          <w:p>
            <w:r>
              <w:t>Agentes activos</w:t>
            </w:r>
          </w:p>
        </w:tc>
        <w:tc>
          <w:tcPr>
            <w:tcW w:type="dxa" w:w="2880"/>
          </w:tcPr>
          <w:p>
            <w:r>
              <w:t>Headcount operativo</w:t>
            </w:r>
          </w:p>
        </w:tc>
        <w:tc>
          <w:tcPr>
            <w:tcW w:type="dxa" w:w="2880"/>
          </w:tcPr>
          <w:p>
            <w:r>
              <w:t>vs nómina total</w:t>
            </w:r>
          </w:p>
        </w:tc>
      </w:tr>
      <w:tr>
        <w:tc>
          <w:tcPr>
            <w:tcW w:type="dxa" w:w="2880"/>
          </w:tcPr>
          <w:p>
            <w:r>
              <w:t>Tendencia 30 días</w:t>
            </w:r>
          </w:p>
        </w:tc>
        <w:tc>
          <w:tcPr>
            <w:tcW w:type="dxa" w:w="2880"/>
          </w:tcPr>
          <w:p>
            <w:r>
              <w:t>Gráfica tasa de contacto</w:t>
            </w:r>
          </w:p>
        </w:tc>
        <w:tc>
          <w:tcPr>
            <w:tcW w:type="dxa" w:w="2880"/>
          </w:tcPr>
          <w:p>
            <w:r>
              <w:t>Línea vs promedio</w:t>
            </w:r>
          </w:p>
        </w:tc>
      </w:tr>
      <w:tr>
        <w:tc>
          <w:tcPr>
            <w:tcW w:type="dxa" w:w="2880"/>
          </w:tcPr>
          <w:p>
            <w:r>
              <w:t>Detección de anomalías</w:t>
            </w:r>
          </w:p>
        </w:tc>
        <w:tc>
          <w:tcPr>
            <w:tcW w:type="dxa" w:w="2880"/>
          </w:tcPr>
          <w:p>
            <w:r>
              <w:t>Alertas automáticas</w:t>
            </w:r>
          </w:p>
        </w:tc>
        <w:tc>
          <w:tcPr>
            <w:tcW w:type="dxa" w:w="2880"/>
          </w:tcPr>
          <w:p>
            <w:r>
              <w:t>Z-score vs 30d</w:t>
            </w:r>
          </w:p>
        </w:tc>
      </w:tr>
      <w:tr>
        <w:tc>
          <w:tcPr>
            <w:tcW w:type="dxa" w:w="2880"/>
          </w:tcPr>
          <w:p>
            <w:r>
              <w:t>Insight proactivo semanal</w:t>
            </w:r>
          </w:p>
        </w:tc>
        <w:tc>
          <w:tcPr>
            <w:tcW w:type="dxa" w:w="2880"/>
          </w:tcPr>
          <w:p>
            <w:r>
              <w:t>Análisis ejecutivo automático</w:t>
            </w:r>
          </w:p>
        </w:tc>
        <w:tc>
          <w:tcPr>
            <w:tcW w:type="dxa" w:w="2880"/>
          </w:tcPr>
          <w:p>
            <w:r>
              <w:t>Tableau Pulse style</w:t>
            </w:r>
          </w:p>
        </w:tc>
      </w:tr>
    </w:tbl>
    <w:p/>
    <w:p>
      <w:pPr>
        <w:pStyle w:val="Heading1"/>
      </w:pPr>
      <w:r>
        <w:t>4. Funcionalidades clave</w:t>
      </w:r>
    </w:p>
    <w:p>
      <w:pPr>
        <w:pStyle w:val="ListBullet"/>
      </w:pPr>
      <w:r>
        <w:rPr>
          <w:b/>
        </w:rPr>
        <w:t xml:space="preserve">Vicky Insights: </w:t>
      </w:r>
      <w:r>
        <w:t>IA conversacional GPT-4o + benchmarks COPC/SQM/E&amp;Y/MetricNet en español</w:t>
      </w:r>
    </w:p>
    <w:p>
      <w:pPr>
        <w:pStyle w:val="ListBullet"/>
      </w:pPr>
      <w:r>
        <w:rPr>
          <w:b/>
        </w:rPr>
        <w:t xml:space="preserve">Motor EBITDA: </w:t>
      </w:r>
      <w:r>
        <w:t>Impacto financiero en COP de AHT, contacto y productividad de agentes</w:t>
      </w:r>
    </w:p>
    <w:p>
      <w:pPr>
        <w:pStyle w:val="ListBullet"/>
      </w:pPr>
      <w:r>
        <w:rPr>
          <w:b/>
        </w:rPr>
        <w:t xml:space="preserve">Speech Analytics: </w:t>
      </w:r>
      <w:r>
        <w:t>2,000+ transcripciones clasificadas por tono, resultado y campaña</w:t>
      </w:r>
    </w:p>
    <w:p>
      <w:pPr>
        <w:pStyle w:val="ListBullet"/>
      </w:pPr>
      <w:r>
        <w:rPr>
          <w:b/>
        </w:rPr>
        <w:t xml:space="preserve">Ranking de agentes: </w:t>
      </w:r>
      <w:r>
        <w:t>P25/P50/P75/P90 + coaching automático vía Vicky</w:t>
      </w:r>
    </w:p>
    <w:p>
      <w:pPr>
        <w:pStyle w:val="ListBullet"/>
      </w:pPr>
      <w:r>
        <w:rPr>
          <w:b/>
        </w:rPr>
        <w:t xml:space="preserve">Alertas inteligentes: </w:t>
      </w:r>
      <w:r>
        <w:t>Escalación COPC 3 niveles: Supervisor → Gerente → CEO</w:t>
      </w:r>
    </w:p>
    <w:p>
      <w:pPr>
        <w:pStyle w:val="ListBullet"/>
      </w:pPr>
      <w:r>
        <w:rPr>
          <w:b/>
        </w:rPr>
        <w:t xml:space="preserve">Exportar PDF: </w:t>
      </w:r>
      <w:r>
        <w:t>Reporte ejecutivo para board con KPIs + insights</w:t>
      </w:r>
    </w:p>
    <w:p>
      <w:pPr>
        <w:pStyle w:val="ListBullet"/>
      </w:pPr>
      <w:r>
        <w:rPr>
          <w:b/>
        </w:rPr>
        <w:t xml:space="preserve">Multi-tenant seguro: </w:t>
      </w:r>
      <w:r>
        <w:t>RLS en 9 tablas Supabase + proxy Cloudflare</w:t>
      </w:r>
    </w:p>
    <w:p>
      <w:pPr>
        <w:pStyle w:val="ListBullet"/>
      </w:pPr>
      <w:r>
        <w:rPr>
          <w:b/>
        </w:rPr>
        <w:t xml:space="preserve">CDR histórico 822 días: </w:t>
      </w:r>
      <w:r>
        <w:t>12M registros enero 2024 - abril 2026</w:t>
      </w:r>
    </w:p>
    <w:p>
      <w:pPr>
        <w:pStyle w:val="ListBullet"/>
      </w:pPr>
      <w:r>
        <w:rPr>
          <w:b/>
        </w:rPr>
        <w:t xml:space="preserve">Year-over-Year: </w:t>
      </w:r>
      <w:r>
        <w:t>Comparativa automática vs mismo período año anterior</w:t>
      </w:r>
    </w:p>
    <w:p>
      <w:pPr>
        <w:pStyle w:val="ListBullet"/>
      </w:pPr>
      <w:r>
        <w:rPr>
          <w:b/>
        </w:rPr>
        <w:t xml:space="preserve">RAG por agente: </w:t>
      </w:r>
      <w:r>
        <w:t>Búsqueda semántica en todas las transcripciones del agente</w:t>
      </w:r>
    </w:p>
    <w:p>
      <w:pPr>
        <w:pStyle w:val="Heading1"/>
      </w:pPr>
      <w:r>
        <w:t>5. Benchmarks disponibles en Vicky</w:t>
      </w:r>
    </w:p>
    <w:p>
      <w:pPr>
        <w:pStyle w:val="ListBullet"/>
      </w:pPr>
      <w:r>
        <w:rPr>
          <w:b/>
        </w:rPr>
        <w:t xml:space="preserve">COPC: </w:t>
      </w:r>
      <w:r>
        <w:t>Estándar global contact center operations</w:t>
      </w:r>
    </w:p>
    <w:p>
      <w:pPr>
        <w:pStyle w:val="ListBullet"/>
      </w:pPr>
      <w:r>
        <w:rPr>
          <w:b/>
        </w:rPr>
        <w:t xml:space="preserve">SQM Group: </w:t>
      </w:r>
      <w:r>
        <w:t>Customer satisfaction LATAM</w:t>
      </w:r>
    </w:p>
    <w:p>
      <w:pPr>
        <w:pStyle w:val="ListBullet"/>
      </w:pPr>
      <w:r>
        <w:rPr>
          <w:b/>
        </w:rPr>
        <w:t xml:space="preserve">Ernst &amp; Young: </w:t>
      </w:r>
      <w:r>
        <w:t>Cobranzas Colombia/LATAM</w:t>
      </w:r>
    </w:p>
    <w:p>
      <w:pPr>
        <w:pStyle w:val="ListBullet"/>
      </w:pPr>
      <w:r>
        <w:rPr>
          <w:b/>
        </w:rPr>
        <w:t xml:space="preserve">MetricNet: </w:t>
      </w:r>
      <w:r>
        <w:t>Contact center benchmarks industria</w:t>
      </w:r>
    </w:p>
    <w:p>
      <w:pPr>
        <w:pStyle w:val="ListBullet"/>
      </w:pPr>
      <w:r>
        <w:rPr>
          <w:b/>
        </w:rPr>
        <w:t xml:space="preserve">Benchmarks Colombia propios: </w:t>
      </w:r>
      <w:r>
        <w:t>Tasa contacto, AHT, conversión cobranzas</w:t>
      </w:r>
    </w:p>
    <w:p>
      <w:pPr>
        <w:pStyle w:val="Heading1"/>
      </w:pPr>
      <w:r>
        <w:t>6. Cómo empezar (primeras 3 acciones)</w:t>
      </w:r>
    </w:p>
    <w:p>
      <w:pPr>
        <w:pStyle w:val="ListNumber"/>
      </w:pPr>
      <w:r>
        <w:t>Abrir WeKall Intelligence → https://wekall-intelligence.pages.dev</w:t>
      </w:r>
    </w:p>
    <w:p>
      <w:pPr>
        <w:pStyle w:val="ListNumber"/>
      </w:pPr>
      <w:r>
        <w:t>En el Dashboard, hacer clic en "¿Qué pasó esta semana?" para el primer análisis automático</w:t>
      </w:r>
    </w:p>
    <w:p>
      <w:pPr>
        <w:pStyle w:val="ListNumber"/>
      </w:pPr>
      <w:r>
        <w:t>Ir a Vicky Insights y preguntar: "¿Cuál es el estado de la operación hoy?"</w:t>
      </w:r>
    </w:p>
    <w:p>
      <w:pPr>
        <w:jc w:val="center"/>
      </w:pPr>
      <w:r>
        <w:rPr>
          <w:color w:val="9CA3AF"/>
        </w:rPr>
        <w:t>WeKall Intelligence v22.0 | 14 de abril de 2026 | Generado por GlorIA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