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7A1F3D"/>
          <w:sz w:val="48"/>
        </w:rPr>
        <w:t>Guía de redacción del Documento de Visión</w:t>
      </w:r>
    </w:p>
    <w:p>
      <w:pPr>
        <w:spacing w:after="160"/>
      </w:pPr>
      <w:r>
        <w:rPr>
          <w:color w:val="555555"/>
          <w:sz w:val="22"/>
        </w:rPr>
        <w:t>Cada punto del documento, junto a lo que la profesora realmente quiere ver · Empresa 1 · NRC 16354 · versión del 17/10/2026</w:t>
      </w:r>
    </w:p>
    <w:p>
      <w:pPr>
        <w:jc w:val="both"/>
      </w:pPr>
      <w:r>
        <w:rPr>
          <w:b/>
        </w:rPr>
        <w:t>Entrega:</w:t>
      </w:r>
      <w:r>
        <w:t xml:space="preserve"> jueves 29/10/2026, 10:00 a. m., PDF por correo a licardosoclasespregrado@gmail.com · </w:t>
      </w:r>
      <w:r>
        <w:rPr>
          <w:b/>
        </w:rPr>
        <w:t>Máximo 9 páginas de cuerpo</w:t>
      </w:r>
      <w:r>
        <w:t xml:space="preserve"> (sin portada, contenido, bibliografía ni apéndices) · </w:t>
      </w:r>
      <w:r>
        <w:rPr>
          <w:b/>
        </w:rPr>
        <w:t>Valor:</w:t>
      </w:r>
      <w:r>
        <w:t xml:space="preserve"> 4 puntos del documento + 3 del examen oral = 7 puntos (35 % de la nota).</w:t>
      </w:r>
    </w:p>
    <w:p>
      <w:pPr>
        <w:pStyle w:val="Heading2"/>
      </w:pPr>
      <w:r>
        <w:t>Cómo se construyó esta guía</w:t>
      </w:r>
    </w:p>
    <w:p>
      <w:pPr>
        <w:jc w:val="both"/>
      </w:pPr>
      <w:r>
        <w:t xml:space="preserve">Se leyeron completos los 6 documentos de visión de semestres anteriores (carpeta "Ejemplos de Documentos de revision", 2 a 5 hojas de comentarios cada uno; ≈ 190 anotaciones de la profesora), el enunciado Legal Tech, el instructivo de la entrega, los resúmenes de clase (objetivos y factibilidad, PDS) y las dos transcripciones (consulta del 15/10 y entrevista del 16/10). Todo lo que figura como "la profesora marcó…" sale de sus comentarios literales en esos documentos; lo que figura como "fórmula" es lo que hicieron los equipos con mejor nota. Los enunciados de esos equipos eran distintos al nuestro (LMS, IA para investigación, suite para café); por eso se imita </w:t>
      </w:r>
      <w:r>
        <w:rPr>
          <w:b/>
        </w:rPr>
        <w:t>la forma de redactar y justificar</w:t>
      </w:r>
      <w:r>
        <w:t>, no el contenido.</w:t>
      </w:r>
    </w:p>
    <w:p>
      <w:pPr>
        <w:pStyle w:val="Heading2"/>
      </w:pPr>
      <w:r>
        <w:t>1. Las 12 reglas que explican casi todas las notas</w:t>
      </w:r>
    </w:p>
    <w:p>
      <w:pPr>
        <w:pStyle w:val="ListNumber"/>
        <w:spacing w:after="40"/>
      </w:pPr>
      <w:r>
        <w:rPr>
          <w:b/>
          <w:sz w:val="19"/>
        </w:rPr>
        <w:t>Todo afirma con referencia.</w:t>
      </w:r>
      <w:r>
        <w:rPr>
          <w:sz w:val="19"/>
        </w:rPr>
        <w:t xml:space="preserve"> El peor documento (nota baja) tenía como "grave problema" no citar nada ni la Declaración de oportunidad ni el marco metodológico, ni las herramientas elegidas. El mejor citaba cada cifra y cada herramienta con [n].</w:t>
      </w:r>
    </w:p>
    <w:p>
      <w:pPr>
        <w:pStyle w:val="ListNumber"/>
        <w:spacing w:after="40"/>
      </w:pPr>
      <w:r>
        <w:rPr>
          <w:b/>
          <w:sz w:val="19"/>
        </w:rPr>
        <w:t>El objetivo general es una frase de una acción:</w:t>
      </w:r>
      <w:r>
        <w:rPr>
          <w:sz w:val="19"/>
        </w:rPr>
        <w:t xml:space="preserve"> verbo + producto + proceso + mercado, máximo 2 líneas. Sin recursos, sin fechas, sin el "cómo" (todo lo "resaltado" lo tachó en dos documentos). Modelo de la profesora: "Desarrollar una suite informática que apoye los procesos X del mercado Y".</w:t>
      </w:r>
    </w:p>
    <w:p>
      <w:pPr>
        <w:pStyle w:val="ListNumber"/>
        <w:spacing w:after="40"/>
      </w:pPr>
      <w:r>
        <w:rPr>
          <w:b/>
          <w:sz w:val="19"/>
        </w:rPr>
        <w:t>Cada objetivo específico produce un producto tangible</w:t>
      </w:r>
      <w:r>
        <w:rPr>
          <w:sz w:val="19"/>
        </w:rPr>
        <w:t xml:space="preserve"> (un documento, una demo, una guía, una configuración) y tiene su propio Alcance. Analizar, documentar procesos, elegir plataforma, hacer pruebas son </w:t>
      </w:r>
      <w:r>
        <w:rPr>
          <w:b/>
          <w:sz w:val="19"/>
        </w:rPr>
        <w:t>actividades del ciclo de vida, no objetivos</w:t>
      </w:r>
      <w:r>
        <w:rPr>
          <w:sz w:val="19"/>
        </w:rPr>
        <w:t>.</w:t>
      </w:r>
    </w:p>
    <w:p>
      <w:pPr>
        <w:pStyle w:val="ListNumber"/>
        <w:spacing w:after="40"/>
      </w:pPr>
      <w:r>
        <w:rPr>
          <w:b/>
          <w:sz w:val="19"/>
        </w:rPr>
        <w:t>El verbo define el alcance.</w:t>
      </w:r>
      <w:r>
        <w:rPr>
          <w:sz w:val="19"/>
        </w:rPr>
        <w:t xml:space="preserve"> "Implementar" exige que haya diseño; si solo van a comparar dos apps, no pueden decir diseñar ni implementar (se lo marcó a SyncMinds y a Café).</w:t>
      </w:r>
    </w:p>
    <w:p>
      <w:pPr>
        <w:pStyle w:val="ListNumber"/>
        <w:spacing w:after="40"/>
      </w:pPr>
      <w:r>
        <w:rPr>
          <w:b/>
          <w:sz w:val="19"/>
        </w:rPr>
        <w:t>Limitación ≠ riesgo.</w:t>
      </w:r>
      <w:r>
        <w:rPr>
          <w:sz w:val="19"/>
        </w:rPr>
        <w:t xml:space="preserve"> Limitación = frontera del proyecto (idioma, versión, plazo, dónde se usará). Riesgo (rechazo, mala conectividad) va en la factibilidad.</w:t>
      </w:r>
    </w:p>
    <w:p>
      <w:pPr>
        <w:pStyle w:val="ListNumber"/>
        <w:spacing w:after="40"/>
      </w:pPr>
      <w:r>
        <w:rPr>
          <w:b/>
          <w:sz w:val="19"/>
        </w:rPr>
        <w:t>Cada renglón de la factibilidad va en su casilla.</w:t>
      </w:r>
      <w:r>
        <w:rPr>
          <w:sz w:val="19"/>
        </w:rPr>
        <w:t xml:space="preserve"> "Eso es operacional-política" y "Ustedes son los RR.HH. especializados" fueron correcciones literales. Justificar con el negocio, no con "es barata y tiene buena documentación" (eso le bajó la nota a un integrante en el oral).</w:t>
      </w:r>
    </w:p>
    <w:p>
      <w:pPr>
        <w:pStyle w:val="ListNumber"/>
        <w:spacing w:after="40"/>
      </w:pPr>
      <w:r>
        <w:rPr>
          <w:b/>
          <w:sz w:val="19"/>
        </w:rPr>
        <w:t>Los costos se calculan con horas × tarifa por rol</w:t>
      </w:r>
      <w:r>
        <w:rPr>
          <w:sz w:val="19"/>
        </w:rPr>
        <w:t xml:space="preserve"> (base tabulador CIV) más licencias, y se dice de dónde sale el presupuesto ("¿Ese presupuesto viene de?").</w:t>
      </w:r>
    </w:p>
    <w:p>
      <w:pPr>
        <w:pStyle w:val="ListNumber"/>
        <w:spacing w:after="40"/>
      </w:pPr>
      <w:r>
        <w:rPr>
          <w:b/>
          <w:sz w:val="19"/>
        </w:rPr>
        <w:t>Planificación coherente:</w:t>
      </w:r>
      <w:r>
        <w:rPr>
          <w:sz w:val="19"/>
        </w:rPr>
        <w:t xml:space="preserve"> etapas con fecha inicio, fin, horas totales y roles; las barras del Gantt deben reflejar las diferencias de horas; las fechas de Inicio deben ser las reales y el entregable debe aparecer.</w:t>
      </w:r>
    </w:p>
    <w:p>
      <w:pPr>
        <w:pStyle w:val="ListNumber"/>
        <w:spacing w:after="40"/>
      </w:pPr>
      <w:r>
        <w:rPr>
          <w:b/>
          <w:sz w:val="19"/>
        </w:rPr>
        <w:t>Procesos de negocio reales, no ideales,</w:t>
      </w:r>
      <w:r>
        <w:rPr>
          <w:sz w:val="19"/>
        </w:rPr>
        <w:t xml:space="preserve"> con tipo de proceso, entradas y salidas, recursos de TI referenciados y consistentes con el texto del documento. El flujo se lee de izquierda a derecha (el último paso, a la derecha).</w:t>
      </w:r>
    </w:p>
    <w:p>
      <w:pPr>
        <w:pStyle w:val="ListNumber"/>
        <w:spacing w:after="40"/>
      </w:pPr>
      <w:r>
        <w:rPr>
          <w:b/>
          <w:sz w:val="19"/>
        </w:rPr>
        <w:t>Usuarios reales y trazables.</w:t>
      </w:r>
      <w:r>
        <w:rPr>
          <w:sz w:val="19"/>
        </w:rPr>
        <w:t xml:space="preserve"> "¿Personas reales?", "Referencia de contacto de esos clientes", "Cambiaron los clientes" (si el texto dice una cosa, el apéndice no puede decir otra).</w:t>
      </w:r>
    </w:p>
    <w:p>
      <w:pPr>
        <w:pStyle w:val="ListNumber"/>
        <w:spacing w:after="40"/>
      </w:pPr>
      <w:r>
        <w:rPr>
          <w:b/>
          <w:sz w:val="19"/>
        </w:rPr>
        <w:t>Un modelo metodológico que apoye el desarrollo y no deje lo difícil para el final:</w:t>
      </w:r>
      <w:r>
        <w:rPr>
          <w:sz w:val="19"/>
        </w:rPr>
        <w:t xml:space="preserve"> pruebas de interoperabilidad y capacitación antes de la Transición; una sola Transición.</w:t>
      </w:r>
    </w:p>
    <w:p>
      <w:pPr>
        <w:pStyle w:val="ListNumber"/>
        <w:spacing w:after="40"/>
      </w:pPr>
      <w:r>
        <w:rPr>
          <w:b/>
          <w:sz w:val="19"/>
        </w:rPr>
        <w:t>Redacción en futuro y en tono de consultor:</w:t>
      </w:r>
      <w:r>
        <w:rPr>
          <w:sz w:val="19"/>
        </w:rPr>
        <w:t xml:space="preserve"> "se propone evaluar…", no "el sistema ya hace…"; los recursos no son autónomos, los opera el equipo.</w:t>
      </w:r>
    </w:p>
    <w:p>
      <w:pPr>
        <w:pStyle w:val="ListNumber"/>
        <w:spacing w:after="40"/>
      </w:pPr>
      <w:r>
        <w:rPr>
          <w:b/>
          <w:sz w:val="19"/>
        </w:rPr>
        <w:t>Presentación de empresa:</w:t>
      </w:r>
      <w:r>
        <w:rPr>
          <w:sz w:val="19"/>
        </w:rPr>
        <w:t xml:space="preserve"> título corto (no limitado a un país), sin nombre de la profesora, fecha correcta, logo, colores y nombre del equipo; "roles, no personas" en las tablas de planificación.</w:t>
      </w:r>
    </w:p>
    <w:p>
      <w:r>
        <w:br w:type="page"/>
      </w:r>
    </w:p>
    <w:p>
      <w:pPr>
        <w:pStyle w:val="Heading1"/>
      </w:pPr>
      <w:r>
        <w:t>2. Comparación de los 6 documentos (de mejor a peor desempeño)</w:t>
      </w:r>
    </w:p>
    <w:p>
      <w:r>
        <w:rPr>
          <w:color w:val="555555"/>
          <w:sz w:val="18"/>
        </w:rPr>
        <w:t>Se omiten notas y nombres de integrantes. Los equipos tenían 3 a 6 integrantes. "Archivo" indica el PDF dentro de la carpeta de ejemplos.</w:t>
      </w:r>
    </w:p>
    <w:tbl>
      <w:tblPr>
        <w:tblStyle w:val="TableGrid"/>
        <w:tblW w:type="auto" w:w="0"/>
        <w:jc w:val="center"/>
        <w:tblLayout w:type="fixed"/>
        <w:tblLook w:firstColumn="1" w:firstRow="1" w:lastColumn="0" w:lastRow="0" w:noHBand="0" w:noVBand="1" w:val="04A0"/>
      </w:tblPr>
      <w:tblGrid>
        <w:gridCol w:w="2338"/>
        <w:gridCol w:w="2338"/>
        <w:gridCol w:w="2338"/>
        <w:gridCol w:w="2338"/>
        <w:gridCol w:w="2338"/>
        <w:gridCol w:w="2338"/>
      </w:tblGrid>
      <w:tr>
        <w:trPr>
          <w:tblHeader w:val="true"/>
        </w:trPr>
        <w:tc>
          <w:tcPr>
            <w:tcW w:type="dxa" w:w="397"/>
            <w:shd w:val="clear" w:color="auto" w:fill="7A1F3D"/>
          </w:tcPr>
          <w:p>
            <w:r/>
            <w:r>
              <w:rPr>
                <w:b/>
                <w:color w:val="FFFFFF"/>
                <w:sz w:val="15"/>
              </w:rPr>
              <w:t>#</w:t>
            </w:r>
          </w:p>
        </w:tc>
        <w:tc>
          <w:tcPr>
            <w:tcW w:type="dxa" w:w="2041"/>
            <w:shd w:val="clear" w:color="auto" w:fill="7A1F3D"/>
          </w:tcPr>
          <w:p>
            <w:r/>
            <w:r>
              <w:rPr>
                <w:b/>
                <w:color w:val="FFFFFF"/>
                <w:sz w:val="15"/>
              </w:rPr>
              <w:t>Documento (archivo)</w:t>
            </w:r>
          </w:p>
        </w:tc>
        <w:tc>
          <w:tcPr>
            <w:tcW w:type="dxa" w:w="2268"/>
            <w:shd w:val="clear" w:color="auto" w:fill="7A1F3D"/>
          </w:tcPr>
          <w:p>
            <w:r/>
            <w:r>
              <w:rPr>
                <w:b/>
                <w:color w:val="FFFFFF"/>
                <w:sz w:val="15"/>
              </w:rPr>
              <w:t>Tema y tipo de proyecto</w:t>
            </w:r>
          </w:p>
        </w:tc>
        <w:tc>
          <w:tcPr>
            <w:tcW w:type="dxa" w:w="1757"/>
            <w:shd w:val="clear" w:color="auto" w:fill="7A1F3D"/>
          </w:tcPr>
          <w:p>
            <w:r/>
            <w:r>
              <w:rPr>
                <w:b/>
                <w:color w:val="FFFFFF"/>
                <w:sz w:val="15"/>
              </w:rPr>
              <w:t>Resultado</w:t>
            </w:r>
          </w:p>
        </w:tc>
        <w:tc>
          <w:tcPr>
            <w:tcW w:type="dxa" w:w="4195"/>
            <w:shd w:val="clear" w:color="auto" w:fill="7A1F3D"/>
          </w:tcPr>
          <w:p>
            <w:r/>
            <w:r>
              <w:rPr>
                <w:b/>
                <w:color w:val="FFFFFF"/>
                <w:sz w:val="15"/>
              </w:rPr>
              <w:t>Veredicto y lo mejor que hicieron</w:t>
            </w:r>
          </w:p>
        </w:tc>
        <w:tc>
          <w:tcPr>
            <w:tcW w:type="dxa" w:w="4535"/>
            <w:shd w:val="clear" w:color="auto" w:fill="7A1F3D"/>
          </w:tcPr>
          <w:p>
            <w:r/>
            <w:r>
              <w:rPr>
                <w:b/>
                <w:color w:val="FFFFFF"/>
                <w:sz w:val="15"/>
              </w:rPr>
              <w:t>Lo que la profesora corrigió</w:t>
            </w:r>
          </w:p>
        </w:tc>
      </w:tr>
      <w:tr>
        <w:trPr>
          <w:cantSplit w:val="true"/>
        </w:trPr>
        <w:tc>
          <w:tcPr>
            <w:tcW w:type="dxa" w:w="397"/>
          </w:tcPr>
          <w:p>
            <w:pPr>
              <w:spacing w:after="20"/>
            </w:pPr>
            <w:r/>
            <w:r>
              <w:rPr>
                <w:sz w:val="15"/>
              </w:rPr>
              <w:t>1</w:t>
            </w:r>
          </w:p>
        </w:tc>
        <w:tc>
          <w:tcPr>
            <w:tcW w:type="dxa" w:w="2041"/>
          </w:tcPr>
          <w:p>
            <w:pPr>
              <w:spacing w:after="20"/>
            </w:pPr>
            <w:r/>
            <w:r>
              <w:rPr>
                <w:b/>
                <w:sz w:val="15"/>
              </w:rPr>
              <w:t>GreenPath LMS</w:t>
            </w:r>
          </w:p>
          <w:p>
            <w:pPr>
              <w:spacing w:after="20"/>
            </w:pPr>
            <w:r>
              <w:rPr>
                <w:sz w:val="15"/>
              </w:rPr>
              <w:t>Ejemplo 1</w:t>
            </w:r>
          </w:p>
        </w:tc>
        <w:tc>
          <w:tcPr>
            <w:tcW w:type="dxa" w:w="2268"/>
          </w:tcPr>
          <w:p>
            <w:pPr>
              <w:spacing w:after="20"/>
            </w:pPr>
            <w:r/>
            <w:r>
              <w:rPr>
                <w:sz w:val="15"/>
              </w:rPr>
              <w:t>Plataforma LMS de ecología de la recreación (desarrollo sobre Claroline). Mercado: educación en Latinoamérica.</w:t>
            </w:r>
          </w:p>
        </w:tc>
        <w:tc>
          <w:tcPr>
            <w:tcW w:type="dxa" w:w="1757"/>
          </w:tcPr>
          <w:p>
            <w:pPr>
              <w:spacing w:after="20"/>
            </w:pPr>
            <w:r/>
            <w:r>
              <w:rPr>
                <w:sz w:val="15"/>
              </w:rPr>
              <w:t>Nota máxima</w:t>
            </w:r>
          </w:p>
          <w:p>
            <w:pPr>
              <w:spacing w:after="20"/>
            </w:pPr>
            <w:r>
              <w:rPr>
                <w:sz w:val="15"/>
              </w:rPr>
              <w:t>"Excelente trabajo"</w:t>
            </w:r>
          </w:p>
        </w:tc>
        <w:tc>
          <w:tcPr>
            <w:tcW w:type="dxa" w:w="4195"/>
          </w:tcPr>
          <w:p>
            <w:pPr>
              <w:spacing w:after="20"/>
              <w:ind w:left="142" w:hanging="142"/>
            </w:pPr>
            <w:r/>
            <w:r>
              <w:rPr>
                <w:sz w:val="15"/>
              </w:rPr>
              <w:t>• Declaración con cifras citadas y las 3 poblaciones del mercado desagregadas.</w:t>
            </w:r>
          </w:p>
          <w:p>
            <w:pPr>
              <w:spacing w:after="20"/>
              <w:ind w:left="142" w:hanging="142"/>
            </w:pPr>
            <w:r>
              <w:rPr>
                <w:sz w:val="15"/>
              </w:rPr>
              <w:t>• Objetivos con verbo + producto y un Alcance por objetivo (la profesora: "la definición de objetivos, alcance y limitaciones está excelente").</w:t>
            </w:r>
          </w:p>
          <w:p>
            <w:pPr>
              <w:spacing w:after="20"/>
              <w:ind w:left="142" w:hanging="142"/>
            </w:pPr>
            <w:r>
              <w:rPr>
                <w:sz w:val="15"/>
              </w:rPr>
              <w:t>• Limitaciones concretas y verificables (versión de Claroline, PostgreSQL, navegadores, 8 meses).</w:t>
            </w:r>
          </w:p>
          <w:p>
            <w:pPr>
              <w:spacing w:after="20"/>
              <w:ind w:left="142" w:hanging="142"/>
            </w:pPr>
            <w:r>
              <w:rPr>
                <w:sz w:val="15"/>
              </w:rPr>
              <w:t>• Factibilidad con recursos nombrados y versión.</w:t>
            </w:r>
          </w:p>
        </w:tc>
        <w:tc>
          <w:tcPr>
            <w:tcW w:type="dxa" w:w="4535"/>
          </w:tcPr>
          <w:p>
            <w:pPr>
              <w:spacing w:after="20"/>
              <w:ind w:left="142" w:hanging="142"/>
            </w:pPr>
            <w:r/>
            <w:r>
              <w:rPr>
                <w:sz w:val="15"/>
              </w:rPr>
              <w:t>• "Quiten lo de la profesora… este es un documento de la empresa"; fecha incorrecta.</w:t>
            </w:r>
          </w:p>
          <w:p>
            <w:pPr>
              <w:spacing w:after="20"/>
              <w:ind w:left="142" w:hanging="142"/>
            </w:pPr>
            <w:r>
              <w:rPr>
                <w:sz w:val="15"/>
              </w:rPr>
              <w:t>• "¿Recursos de TI específicos? ¿Sólo el LMS?"</w:t>
            </w:r>
          </w:p>
          <w:p>
            <w:pPr>
              <w:spacing w:after="20"/>
              <w:ind w:left="142" w:hanging="142"/>
            </w:pPr>
            <w:r>
              <w:rPr>
                <w:sz w:val="15"/>
              </w:rPr>
              <w:t>• "¿Ese presupuesto viene de?"</w:t>
            </w:r>
          </w:p>
          <w:p>
            <w:pPr>
              <w:spacing w:after="20"/>
              <w:ind w:left="142" w:hanging="142"/>
            </w:pPr>
            <w:r>
              <w:rPr>
                <w:sz w:val="15"/>
              </w:rPr>
              <w:t>• "¿Cómo se prepararán para el diseño del curso?"</w:t>
            </w:r>
          </w:p>
          <w:p>
            <w:pPr>
              <w:spacing w:after="20"/>
              <w:ind w:left="142" w:hanging="142"/>
            </w:pPr>
            <w:r>
              <w:rPr>
                <w:sz w:val="15"/>
              </w:rPr>
              <w:t>• Faltó describir las etapas lineales.</w:t>
            </w:r>
          </w:p>
        </w:tc>
      </w:tr>
      <w:tr>
        <w:trPr>
          <w:cantSplit w:val="true"/>
        </w:trPr>
        <w:tc>
          <w:tcPr>
            <w:tcW w:type="dxa" w:w="397"/>
            <w:shd w:val="clear" w:color="auto" w:fill="F7F0F2"/>
          </w:tcPr>
          <w:p>
            <w:pPr>
              <w:spacing w:after="20"/>
            </w:pPr>
            <w:r/>
            <w:r>
              <w:rPr>
                <w:sz w:val="15"/>
              </w:rPr>
              <w:t>2</w:t>
            </w:r>
          </w:p>
        </w:tc>
        <w:tc>
          <w:tcPr>
            <w:tcW w:type="dxa" w:w="2041"/>
            <w:shd w:val="clear" w:color="auto" w:fill="F7F0F2"/>
          </w:tcPr>
          <w:p>
            <w:pPr>
              <w:spacing w:after="20"/>
            </w:pPr>
            <w:r/>
            <w:r>
              <w:rPr>
                <w:b/>
                <w:sz w:val="15"/>
              </w:rPr>
              <w:t>Aether</w:t>
            </w:r>
            <w:r>
              <w:rPr>
                <w:sz w:val="15"/>
              </w:rPr>
              <w:t xml:space="preserve"> (IA para investigación)</w:t>
            </w:r>
          </w:p>
          <w:p>
            <w:pPr>
              <w:spacing w:after="20"/>
            </w:pPr>
            <w:r>
              <w:rPr>
                <w:sz w:val="15"/>
              </w:rPr>
              <w:t>Ejemplo 3</w:t>
            </w:r>
          </w:p>
        </w:tc>
        <w:tc>
          <w:tcPr>
            <w:tcW w:type="dxa" w:w="2268"/>
            <w:shd w:val="clear" w:color="auto" w:fill="F7F0F2"/>
          </w:tcPr>
          <w:p>
            <w:pPr>
              <w:spacing w:after="20"/>
            </w:pPr>
            <w:r/>
            <w:r>
              <w:rPr>
                <w:sz w:val="15"/>
              </w:rPr>
              <w:t xml:space="preserve">Consultoría: evaluar y recomendar herramientas de IA para 2 mercados (biología, climatología). </w:t>
            </w:r>
            <w:r>
              <w:rPr>
                <w:b/>
                <w:sz w:val="15"/>
              </w:rPr>
              <w:t>Es el más parecido a nuestro enunciado.</w:t>
            </w:r>
          </w:p>
        </w:tc>
        <w:tc>
          <w:tcPr>
            <w:tcW w:type="dxa" w:w="1757"/>
            <w:shd w:val="clear" w:color="auto" w:fill="F7F0F2"/>
          </w:tcPr>
          <w:p>
            <w:pPr>
              <w:spacing w:after="20"/>
            </w:pPr>
            <w:r/>
            <w:r>
              <w:rPr>
                <w:sz w:val="15"/>
              </w:rPr>
              <w:t>Nota muy alta</w:t>
            </w:r>
          </w:p>
          <w:p>
            <w:pPr>
              <w:spacing w:after="20"/>
            </w:pPr>
            <w:r>
              <w:rPr>
                <w:sz w:val="15"/>
              </w:rPr>
              <w:t>"Excelente trabajo, de nivel profesional"</w:t>
            </w:r>
          </w:p>
        </w:tc>
        <w:tc>
          <w:tcPr>
            <w:tcW w:type="dxa" w:w="4195"/>
            <w:shd w:val="clear" w:color="auto" w:fill="F7F0F2"/>
          </w:tcPr>
          <w:p>
            <w:pPr>
              <w:spacing w:after="20"/>
              <w:ind w:left="142" w:hanging="142"/>
            </w:pPr>
            <w:r/>
            <w:r>
              <w:rPr>
                <w:sz w:val="15"/>
              </w:rPr>
              <w:t>• Declaración con ≈ 12 referencias, de lo global a los 2 mercados y a la oportunidad; cierra con el "resultado esperado" por mercado.</w:t>
            </w:r>
          </w:p>
          <w:p>
            <w:pPr>
              <w:spacing w:after="20"/>
              <w:ind w:left="142" w:hanging="142"/>
            </w:pPr>
            <w:r>
              <w:rPr>
                <w:sz w:val="15"/>
              </w:rPr>
              <w:t>• Solución por mercado: 2 herramientas con funcionalidades, implicaciones técnicas y compatibilidad; pareja responsable por mercado.</w:t>
            </w:r>
          </w:p>
          <w:p>
            <w:pPr>
              <w:spacing w:after="20"/>
              <w:ind w:left="142" w:hanging="142"/>
            </w:pPr>
            <w:r>
              <w:rPr>
                <w:sz w:val="15"/>
              </w:rPr>
              <w:t>• Objetivos de consultoría con producto tangible (criterios, demos, resultados, recomendaciones) y alcance por objetivo.</w:t>
            </w:r>
          </w:p>
          <w:p>
            <w:pPr>
              <w:spacing w:after="20"/>
              <w:ind w:left="142" w:hanging="142"/>
            </w:pPr>
            <w:r>
              <w:rPr>
                <w:sz w:val="15"/>
              </w:rPr>
              <w:t>• Factibilidad con cálculo "5 × 0,2 = 1" y total 4,75/5.</w:t>
            </w:r>
          </w:p>
          <w:p>
            <w:pPr>
              <w:spacing w:after="20"/>
              <w:ind w:left="142" w:hanging="142"/>
            </w:pPr>
            <w:r>
              <w:rPr>
                <w:sz w:val="15"/>
              </w:rPr>
              <w:t>• Costos por rol y tabla de planes de cada herramienta; 2 perfiles de usuario detallados.</w:t>
            </w:r>
          </w:p>
        </w:tc>
        <w:tc>
          <w:tcPr>
            <w:tcW w:type="dxa" w:w="4535"/>
            <w:shd w:val="clear" w:color="auto" w:fill="F7F0F2"/>
          </w:tcPr>
          <w:p>
            <w:pPr>
              <w:spacing w:after="20"/>
              <w:ind w:left="142" w:hanging="142"/>
            </w:pPr>
            <w:r/>
            <w:r>
              <w:rPr>
                <w:sz w:val="15"/>
              </w:rPr>
              <w:t>• "¿Título del proyecto?" (portada sin título).</w:t>
            </w:r>
          </w:p>
          <w:p>
            <w:pPr>
              <w:spacing w:after="20"/>
              <w:ind w:left="142" w:hanging="142"/>
            </w:pPr>
            <w:r>
              <w:rPr>
                <w:sz w:val="15"/>
              </w:rPr>
              <w:t>• "¿Los apéndices?" (faltaban en el contenido).</w:t>
            </w:r>
          </w:p>
          <w:p>
            <w:pPr>
              <w:spacing w:after="20"/>
              <w:ind w:left="142" w:hanging="142"/>
            </w:pPr>
            <w:r>
              <w:rPr>
                <w:sz w:val="15"/>
              </w:rPr>
              <w:t>• Una cita sin referencia.</w:t>
            </w:r>
          </w:p>
          <w:p>
            <w:pPr>
              <w:spacing w:after="20"/>
              <w:ind w:left="142" w:hanging="142"/>
            </w:pPr>
            <w:r>
              <w:rPr>
                <w:sz w:val="15"/>
              </w:rPr>
              <w:t>• "Las barras [del Gantt] no muestran las diferencias de horas".</w:t>
            </w:r>
          </w:p>
          <w:p>
            <w:pPr>
              <w:spacing w:after="20"/>
              <w:ind w:left="142" w:hanging="142"/>
            </w:pPr>
            <w:r>
              <w:rPr>
                <w:sz w:val="15"/>
              </w:rPr>
              <w:t>• "Este paso debe ser el último del lado derecho" (diagrama).</w:t>
            </w:r>
          </w:p>
          <w:p>
            <w:pPr>
              <w:spacing w:after="20"/>
              <w:ind w:left="142" w:hanging="142"/>
            </w:pPr>
            <w:r>
              <w:rPr>
                <w:sz w:val="15"/>
              </w:rPr>
              <w:t>• Resumen de reunión: "faltó una IA para análisis masivo de datos".</w:t>
            </w:r>
          </w:p>
        </w:tc>
      </w:tr>
      <w:tr>
        <w:trPr>
          <w:cantSplit w:val="true"/>
        </w:trPr>
        <w:tc>
          <w:tcPr>
            <w:tcW w:type="dxa" w:w="397"/>
          </w:tcPr>
          <w:p>
            <w:pPr>
              <w:spacing w:after="20"/>
            </w:pPr>
            <w:r/>
            <w:r>
              <w:rPr>
                <w:sz w:val="15"/>
              </w:rPr>
              <w:t>3</w:t>
            </w:r>
          </w:p>
        </w:tc>
        <w:tc>
          <w:tcPr>
            <w:tcW w:type="dxa" w:w="2041"/>
          </w:tcPr>
          <w:p>
            <w:pPr>
              <w:spacing w:after="20"/>
            </w:pPr>
            <w:r/>
            <w:r>
              <w:rPr>
                <w:b/>
                <w:sz w:val="15"/>
              </w:rPr>
              <w:t>EcoFashion Apprentice</w:t>
            </w:r>
            <w:r>
              <w:rPr>
                <w:sz w:val="15"/>
              </w:rPr>
              <w:t xml:space="preserve"> (LMS OpenOlat)</w:t>
            </w:r>
          </w:p>
          <w:p>
            <w:pPr>
              <w:spacing w:after="20"/>
            </w:pPr>
            <w:r>
              <w:rPr>
                <w:sz w:val="15"/>
              </w:rPr>
              <w:t>Ejemplo 6</w:t>
            </w:r>
          </w:p>
        </w:tc>
        <w:tc>
          <w:tcPr>
            <w:tcW w:type="dxa" w:w="2268"/>
          </w:tcPr>
          <w:p>
            <w:pPr>
              <w:spacing w:after="20"/>
            </w:pPr>
            <w:r/>
            <w:r>
              <w:rPr>
                <w:sz w:val="15"/>
              </w:rPr>
              <w:t>Aplicación web educativa con 2 cursos (adultos y niños). Clientes con nombre real: Taller Neo y red Esbaratao.</w:t>
            </w:r>
          </w:p>
        </w:tc>
        <w:tc>
          <w:tcPr>
            <w:tcW w:type="dxa" w:w="1757"/>
          </w:tcPr>
          <w:p>
            <w:pPr>
              <w:spacing w:after="20"/>
            </w:pPr>
            <w:r/>
            <w:r>
              <w:rPr>
                <w:sz w:val="15"/>
              </w:rPr>
              <w:t>Nota alta</w:t>
            </w:r>
          </w:p>
          <w:p>
            <w:pPr>
              <w:spacing w:after="20"/>
            </w:pPr>
            <w:r>
              <w:rPr>
                <w:sz w:val="15"/>
              </w:rPr>
              <w:t>"Excelente trabajo"</w:t>
            </w:r>
          </w:p>
        </w:tc>
        <w:tc>
          <w:tcPr>
            <w:tcW w:type="dxa" w:w="4195"/>
          </w:tcPr>
          <w:p>
            <w:pPr>
              <w:spacing w:after="20"/>
              <w:ind w:left="142" w:hanging="142"/>
            </w:pPr>
            <w:r/>
            <w:r>
              <w:rPr>
                <w:sz w:val="15"/>
              </w:rPr>
              <w:t xml:space="preserve">• Identifica </w:t>
            </w:r>
            <w:r>
              <w:rPr>
                <w:b/>
                <w:sz w:val="15"/>
              </w:rPr>
              <w:t>clientes reales</w:t>
            </w:r>
            <w:r>
              <w:rPr>
                <w:sz w:val="15"/>
              </w:rPr>
              <w:t xml:space="preserve"> por mercado y los vincula con la solución.</w:t>
            </w:r>
          </w:p>
          <w:p>
            <w:pPr>
              <w:spacing w:after="20"/>
              <w:ind w:left="142" w:hanging="142"/>
            </w:pPr>
            <w:r>
              <w:rPr>
                <w:sz w:val="15"/>
              </w:rPr>
              <w:t>• Objetivo general claro; 4 objetivos específicos con alcance técnico detallado.</w:t>
            </w:r>
          </w:p>
          <w:p>
            <w:pPr>
              <w:spacing w:after="20"/>
              <w:ind w:left="142" w:hanging="142"/>
            </w:pPr>
            <w:r>
              <w:rPr>
                <w:sz w:val="15"/>
              </w:rPr>
              <w:t>• Costos con fuente del tabulador (Banca y Negocios, CIV) y mantenimiento itemizado (VPS, internet).</w:t>
            </w:r>
          </w:p>
        </w:tc>
        <w:tc>
          <w:tcPr>
            <w:tcW w:type="dxa" w:w="4535"/>
          </w:tcPr>
          <w:p>
            <w:pPr>
              <w:spacing w:after="20"/>
              <w:ind w:left="142" w:hanging="142"/>
            </w:pPr>
            <w:r/>
            <w:r>
              <w:rPr>
                <w:sz w:val="15"/>
              </w:rPr>
              <w:t>• "Referir el objetivo final del proyecto" (evaluar una plataforma).</w:t>
            </w:r>
          </w:p>
          <w:p>
            <w:pPr>
              <w:spacing w:after="20"/>
              <w:ind w:left="142" w:hanging="142"/>
            </w:pPr>
            <w:r>
              <w:rPr>
                <w:sz w:val="15"/>
              </w:rPr>
              <w:t>• "Faltan los objetivos de diseño de cada curso".</w:t>
            </w:r>
          </w:p>
          <w:p>
            <w:pPr>
              <w:spacing w:after="20"/>
              <w:ind w:left="142" w:hanging="142"/>
            </w:pPr>
            <w:r>
              <w:rPr>
                <w:sz w:val="15"/>
              </w:rPr>
              <w:t>• "Horas totales y deben usar un diagrama de tiempo".</w:t>
            </w:r>
          </w:p>
          <w:p>
            <w:pPr>
              <w:spacing w:after="20"/>
              <w:ind w:left="142" w:hanging="142"/>
            </w:pPr>
            <w:r>
              <w:rPr>
                <w:sz w:val="15"/>
              </w:rPr>
              <w:t>• "No cuadran las fechas y no colocaron el entregable".</w:t>
            </w:r>
          </w:p>
          <w:p>
            <w:pPr>
              <w:spacing w:after="20"/>
              <w:ind w:left="142" w:hanging="142"/>
            </w:pPr>
            <w:r>
              <w:rPr>
                <w:sz w:val="15"/>
              </w:rPr>
              <w:t>• "Los demás roles", "rol" (tablas de roles incompletas).</w:t>
            </w:r>
          </w:p>
        </w:tc>
      </w:tr>
      <w:tr>
        <w:trPr>
          <w:cantSplit w:val="true"/>
        </w:trPr>
        <w:tc>
          <w:tcPr>
            <w:tcW w:type="dxa" w:w="397"/>
            <w:shd w:val="clear" w:color="auto" w:fill="F7F0F2"/>
          </w:tcPr>
          <w:p>
            <w:pPr>
              <w:spacing w:after="20"/>
            </w:pPr>
            <w:r/>
            <w:r>
              <w:rPr>
                <w:sz w:val="15"/>
              </w:rPr>
              <w:t>4</w:t>
            </w:r>
          </w:p>
        </w:tc>
        <w:tc>
          <w:tcPr>
            <w:tcW w:type="dxa" w:w="2041"/>
            <w:shd w:val="clear" w:color="auto" w:fill="F7F0F2"/>
          </w:tcPr>
          <w:p>
            <w:pPr>
              <w:spacing w:after="20"/>
            </w:pPr>
            <w:r/>
            <w:r>
              <w:rPr>
                <w:b/>
                <w:sz w:val="15"/>
              </w:rPr>
              <w:t>SyncMinds</w:t>
            </w:r>
            <w:r>
              <w:rPr>
                <w:sz w:val="15"/>
              </w:rPr>
              <w:t xml:space="preserve"> (suite ERP + B2B + CMI)</w:t>
            </w:r>
          </w:p>
          <w:p>
            <w:pPr>
              <w:spacing w:after="20"/>
            </w:pPr>
            <w:r>
              <w:rPr>
                <w:sz w:val="15"/>
              </w:rPr>
              <w:t>Ejemplo 2</w:t>
            </w:r>
          </w:p>
        </w:tc>
        <w:tc>
          <w:tcPr>
            <w:tcW w:type="dxa" w:w="2268"/>
            <w:shd w:val="clear" w:color="auto" w:fill="F7F0F2"/>
          </w:tcPr>
          <w:p>
            <w:pPr>
              <w:spacing w:after="20"/>
            </w:pPr>
            <w:r/>
            <w:r>
              <w:rPr>
                <w:sz w:val="15"/>
              </w:rPr>
              <w:t>Suite para pequeños productores de café verde: evalúa 2 ERP, 2 B2B y 2 tableros BI; 6 integrantes.</w:t>
            </w:r>
          </w:p>
        </w:tc>
        <w:tc>
          <w:tcPr>
            <w:tcW w:type="dxa" w:w="1757"/>
            <w:shd w:val="clear" w:color="auto" w:fill="F7F0F2"/>
          </w:tcPr>
          <w:p>
            <w:pPr>
              <w:spacing w:after="20"/>
            </w:pPr>
            <w:r/>
            <w:r>
              <w:rPr>
                <w:sz w:val="15"/>
              </w:rPr>
              <w:t>Nota media-alta</w:t>
            </w:r>
          </w:p>
          <w:p>
            <w:pPr>
              <w:spacing w:after="20"/>
            </w:pPr>
            <w:r>
              <w:rPr>
                <w:sz w:val="15"/>
              </w:rPr>
              <w:t>Oral: desigual entre integrantes</w:t>
            </w:r>
          </w:p>
        </w:tc>
        <w:tc>
          <w:tcPr>
            <w:tcW w:type="dxa" w:w="4195"/>
            <w:shd w:val="clear" w:color="auto" w:fill="F7F0F2"/>
          </w:tcPr>
          <w:p>
            <w:pPr>
              <w:spacing w:after="20"/>
              <w:ind w:left="142" w:hanging="142"/>
            </w:pPr>
            <w:r/>
            <w:r>
              <w:rPr>
                <w:sz w:val="15"/>
              </w:rPr>
              <w:t>• Estructura clara por componente: responsables, herramientas, "impacto en oportunidad".</w:t>
            </w:r>
          </w:p>
          <w:p>
            <w:pPr>
              <w:spacing w:after="20"/>
              <w:ind w:left="142" w:hanging="142"/>
            </w:pPr>
            <w:r>
              <w:rPr>
                <w:sz w:val="15"/>
              </w:rPr>
              <w:t xml:space="preserve">• Costo con </w:t>
            </w:r>
            <w:r>
              <w:rPr>
                <w:b/>
                <w:sz w:val="15"/>
              </w:rPr>
              <w:t>tarifas por hora basadas en el tabulador CIV</w:t>
            </w:r>
            <w:r>
              <w:rPr>
                <w:sz w:val="15"/>
              </w:rPr>
              <w:t xml:space="preserve"> (arquitecto $5, analista $4, desarrollador $2,50).</w:t>
            </w:r>
          </w:p>
          <w:p>
            <w:pPr>
              <w:spacing w:after="20"/>
              <w:ind w:left="142" w:hanging="142"/>
            </w:pPr>
            <w:r>
              <w:rPr>
                <w:sz w:val="15"/>
              </w:rPr>
              <w:t>• 3 empresas reales (RIF, ubicación, estado tecnológico, desafíos) como grupo piloto. "Muy bien la justificación de los clientes potenciales".</w:t>
            </w:r>
          </w:p>
        </w:tc>
        <w:tc>
          <w:tcPr>
            <w:tcW w:type="dxa" w:w="4535"/>
            <w:shd w:val="clear" w:color="auto" w:fill="F7F0F2"/>
          </w:tcPr>
          <w:p>
            <w:pPr>
              <w:spacing w:after="20"/>
              <w:ind w:left="142" w:hanging="142"/>
            </w:pPr>
            <w:r/>
            <w:r>
              <w:rPr>
                <w:sz w:val="15"/>
              </w:rPr>
              <w:t>• Objetivo general: "Hicieron un resumen, no redactaron un objetivo".</w:t>
            </w:r>
          </w:p>
          <w:p>
            <w:pPr>
              <w:spacing w:after="20"/>
              <w:ind w:left="142" w:hanging="142"/>
            </w:pPr>
            <w:r>
              <w:rPr>
                <w:sz w:val="15"/>
              </w:rPr>
              <w:t>• "Lo resaltado no va" (recursos, el "cómo", fechas).</w:t>
            </w:r>
          </w:p>
          <w:p>
            <w:pPr>
              <w:spacing w:after="20"/>
              <w:ind w:left="142" w:hanging="142"/>
            </w:pPr>
            <w:r>
              <w:rPr>
                <w:sz w:val="15"/>
              </w:rPr>
              <w:t>• "La comparación es utilizando los requerimientos".</w:t>
            </w:r>
          </w:p>
          <w:p>
            <w:pPr>
              <w:spacing w:after="20"/>
              <w:ind w:left="142" w:hanging="142"/>
            </w:pPr>
            <w:r>
              <w:rPr>
                <w:sz w:val="15"/>
              </w:rPr>
              <w:t>• "¿Qué quieren decir con control estratégico?" / "un demo es para mostrar".</w:t>
            </w:r>
          </w:p>
          <w:p>
            <w:pPr>
              <w:spacing w:after="20"/>
              <w:ind w:left="142" w:hanging="142"/>
            </w:pPr>
            <w:r>
              <w:rPr>
                <w:sz w:val="15"/>
              </w:rPr>
              <w:t>• "Falta la implementación de las métricas… listar lo acordado en las 4 perspectivas del CMI".</w:t>
            </w:r>
          </w:p>
          <w:p>
            <w:pPr>
              <w:spacing w:after="20"/>
              <w:ind w:left="142" w:hanging="142"/>
            </w:pPr>
            <w:r>
              <w:rPr>
                <w:sz w:val="15"/>
              </w:rPr>
              <w:t>• "¿Por qué dos transiciones?"; "¿Así lo hacen los agricultores o es el proceso ideal?"</w:t>
            </w:r>
          </w:p>
          <w:p>
            <w:pPr>
              <w:spacing w:after="20"/>
              <w:ind w:left="142" w:hanging="142"/>
            </w:pPr>
            <w:r>
              <w:rPr>
                <w:sz w:val="15"/>
              </w:rPr>
              <w:t>• "Referencia de contacto de esos clientes?"</w:t>
            </w:r>
          </w:p>
        </w:tc>
      </w:tr>
      <w:tr>
        <w:trPr>
          <w:cantSplit w:val="true"/>
        </w:trPr>
        <w:tc>
          <w:tcPr>
            <w:tcW w:type="dxa" w:w="397"/>
          </w:tcPr>
          <w:p>
            <w:pPr>
              <w:spacing w:after="20"/>
            </w:pPr>
            <w:r/>
            <w:r>
              <w:rPr>
                <w:sz w:val="15"/>
              </w:rPr>
              <w:t>5</w:t>
            </w:r>
          </w:p>
        </w:tc>
        <w:tc>
          <w:tcPr>
            <w:tcW w:type="dxa" w:w="2041"/>
          </w:tcPr>
          <w:p>
            <w:pPr>
              <w:spacing w:after="20"/>
            </w:pPr>
            <w:r/>
            <w:r>
              <w:rPr>
                <w:b/>
                <w:sz w:val="15"/>
              </w:rPr>
              <w:t>Suite para café artesanal</w:t>
            </w:r>
            <w:r>
              <w:rPr>
                <w:sz w:val="15"/>
              </w:rPr>
              <w:t xml:space="preserve"> (ERP + B2B + CMI)</w:t>
            </w:r>
          </w:p>
          <w:p>
            <w:pPr>
              <w:spacing w:after="20"/>
            </w:pPr>
            <w:r>
              <w:rPr>
                <w:sz w:val="15"/>
              </w:rPr>
              <w:t>Ejemplo 5</w:t>
            </w:r>
          </w:p>
        </w:tc>
        <w:tc>
          <w:tcPr>
            <w:tcW w:type="dxa" w:w="2268"/>
          </w:tcPr>
          <w:p>
            <w:pPr>
              <w:spacing w:after="20"/>
            </w:pPr>
            <w:r/>
            <w:r>
              <w:rPr>
                <w:sz w:val="15"/>
              </w:rPr>
              <w:t>Similar al anterior, limitado a productores venezolanos; 6 integrantes.</w:t>
            </w:r>
          </w:p>
        </w:tc>
        <w:tc>
          <w:tcPr>
            <w:tcW w:type="dxa" w:w="1757"/>
          </w:tcPr>
          <w:p>
            <w:pPr>
              <w:spacing w:after="20"/>
            </w:pPr>
            <w:r/>
            <w:r>
              <w:rPr>
                <w:sz w:val="15"/>
              </w:rPr>
              <w:t>Nota media</w:t>
            </w:r>
          </w:p>
          <w:p>
            <w:pPr>
              <w:spacing w:after="20"/>
            </w:pPr>
            <w:r>
              <w:rPr>
                <w:sz w:val="15"/>
              </w:rPr>
              <w:t>Oral: bajo en varios integrantes</w:t>
            </w:r>
          </w:p>
        </w:tc>
        <w:tc>
          <w:tcPr>
            <w:tcW w:type="dxa" w:w="4195"/>
          </w:tcPr>
          <w:p>
            <w:pPr>
              <w:spacing w:after="20"/>
              <w:ind w:left="142" w:hanging="142"/>
            </w:pPr>
            <w:r/>
            <w:r>
              <w:rPr>
                <w:sz w:val="15"/>
              </w:rPr>
              <w:t>• Buen enfoque y solución integrada ("el enfoque está bastante bien").</w:t>
            </w:r>
          </w:p>
          <w:p>
            <w:pPr>
              <w:spacing w:after="20"/>
              <w:ind w:left="142" w:hanging="142"/>
            </w:pPr>
            <w:r>
              <w:rPr>
                <w:sz w:val="15"/>
              </w:rPr>
              <w:t>• Costo con el CIV en bolívares por hora y por rol; costos de infraestructura (VPS).</w:t>
            </w:r>
          </w:p>
        </w:tc>
        <w:tc>
          <w:tcPr>
            <w:tcW w:type="dxa" w:w="4535"/>
          </w:tcPr>
          <w:p>
            <w:pPr>
              <w:spacing w:after="20"/>
              <w:ind w:left="142" w:hanging="142"/>
            </w:pPr>
            <w:r/>
            <w:r>
              <w:rPr>
                <w:sz w:val="15"/>
              </w:rPr>
              <w:t>• "Título muy largo y el mercado no debe estar limitado a un solo país".</w:t>
            </w:r>
          </w:p>
          <w:p>
            <w:pPr>
              <w:spacing w:after="20"/>
              <w:ind w:left="142" w:hanging="142"/>
            </w:pPr>
            <w:r>
              <w:rPr>
                <w:sz w:val="15"/>
              </w:rPr>
              <w:t>• "Sustentar la propuesta solo para productores venezolanos sin conocimiento profundo de la realidad… no toman en cuenta conectividad ni servicios eléctricos".</w:t>
            </w:r>
          </w:p>
          <w:p>
            <w:pPr>
              <w:spacing w:after="20"/>
              <w:ind w:left="142" w:hanging="142"/>
            </w:pPr>
            <w:r>
              <w:rPr>
                <w:sz w:val="15"/>
              </w:rPr>
              <w:t>• "Redacción a futuro: hablan como si todo estuviera hecho y los recursos fueran autónomos".</w:t>
            </w:r>
          </w:p>
          <w:p>
            <w:pPr>
              <w:spacing w:after="20"/>
              <w:ind w:left="142" w:hanging="142"/>
            </w:pPr>
            <w:r>
              <w:rPr>
                <w:sz w:val="15"/>
              </w:rPr>
              <w:t>• "Todo lo resaltado no va en el objetivo"; "Van a evaluar recursos de TI. La suite es el producto de ustedes".</w:t>
            </w:r>
          </w:p>
          <w:p>
            <w:pPr>
              <w:spacing w:after="20"/>
              <w:ind w:left="142" w:hanging="142"/>
            </w:pPr>
            <w:r>
              <w:rPr>
                <w:sz w:val="15"/>
              </w:rPr>
              <w:t>• "Eso es un riesgo, no una limitación".</w:t>
            </w:r>
          </w:p>
          <w:p>
            <w:pPr>
              <w:spacing w:after="20"/>
              <w:ind w:left="142" w:hanging="142"/>
            </w:pPr>
            <w:r>
              <w:rPr>
                <w:sz w:val="15"/>
              </w:rPr>
              <w:t>• "Es demasiado tarde pensar en capacitaciones y pruebas de interoperabilidad sólo en la Transición".</w:t>
            </w:r>
          </w:p>
          <w:p>
            <w:pPr>
              <w:spacing w:after="20"/>
              <w:ind w:left="142" w:hanging="142"/>
            </w:pPr>
            <w:r>
              <w:rPr>
                <w:sz w:val="15"/>
              </w:rPr>
              <w:t>• "Roles, no personas"; "Cambiaron los clientes"; "Es un proceso de negocio – no se referencia ningún recurso".</w:t>
            </w:r>
          </w:p>
        </w:tc>
      </w:tr>
      <w:tr>
        <w:trPr>
          <w:cantSplit w:val="true"/>
        </w:trPr>
        <w:tc>
          <w:tcPr>
            <w:tcW w:type="dxa" w:w="397"/>
            <w:shd w:val="clear" w:color="auto" w:fill="F7F0F2"/>
          </w:tcPr>
          <w:p>
            <w:pPr>
              <w:spacing w:after="20"/>
            </w:pPr>
            <w:r/>
            <w:r>
              <w:rPr>
                <w:sz w:val="15"/>
              </w:rPr>
              <w:t>6</w:t>
            </w:r>
          </w:p>
        </w:tc>
        <w:tc>
          <w:tcPr>
            <w:tcW w:type="dxa" w:w="2041"/>
            <w:shd w:val="clear" w:color="auto" w:fill="F7F0F2"/>
          </w:tcPr>
          <w:p>
            <w:pPr>
              <w:spacing w:after="20"/>
            </w:pPr>
            <w:r/>
            <w:r>
              <w:rPr>
                <w:b/>
                <w:sz w:val="15"/>
              </w:rPr>
              <w:t>Solvix</w:t>
            </w:r>
            <w:r>
              <w:rPr>
                <w:sz w:val="15"/>
              </w:rPr>
              <w:t xml:space="preserve"> (IA anti-plagio)</w:t>
            </w:r>
          </w:p>
          <w:p>
            <w:pPr>
              <w:spacing w:after="20"/>
            </w:pPr>
            <w:r>
              <w:rPr>
                <w:sz w:val="15"/>
              </w:rPr>
              <w:t>Ejemplo 4</w:t>
            </w:r>
          </w:p>
        </w:tc>
        <w:tc>
          <w:tcPr>
            <w:tcW w:type="dxa" w:w="2268"/>
            <w:shd w:val="clear" w:color="auto" w:fill="F7F0F2"/>
          </w:tcPr>
          <w:p>
            <w:pPr>
              <w:spacing w:after="20"/>
            </w:pPr>
            <w:r/>
            <w:r>
              <w:rPr>
                <w:sz w:val="15"/>
              </w:rPr>
              <w:t>Consultoría para recomendar 3 herramientas de detección de plagio; unidades de integridad académica.</w:t>
            </w:r>
          </w:p>
        </w:tc>
        <w:tc>
          <w:tcPr>
            <w:tcW w:type="dxa" w:w="1757"/>
            <w:shd w:val="clear" w:color="auto" w:fill="F7F0F2"/>
          </w:tcPr>
          <w:p>
            <w:pPr>
              <w:spacing w:after="20"/>
            </w:pPr>
            <w:r/>
            <w:r>
              <w:rPr>
                <w:sz w:val="15"/>
              </w:rPr>
              <w:t>Nota baja</w:t>
            </w:r>
          </w:p>
          <w:p>
            <w:pPr>
              <w:spacing w:after="20"/>
            </w:pPr>
            <w:r>
              <w:rPr>
                <w:sz w:val="15"/>
              </w:rPr>
              <w:t>"Tienen un enfoque adecuado… sin embargo hay un grave problema"</w:t>
            </w:r>
          </w:p>
        </w:tc>
        <w:tc>
          <w:tcPr>
            <w:tcW w:type="dxa" w:w="4195"/>
            <w:shd w:val="clear" w:color="auto" w:fill="F7F0F2"/>
          </w:tcPr>
          <w:p>
            <w:pPr>
              <w:spacing w:after="20"/>
              <w:ind w:left="142" w:hanging="142"/>
            </w:pPr>
            <w:r/>
            <w:r>
              <w:rPr>
                <w:sz w:val="15"/>
              </w:rPr>
              <w:t>• Buena documentación de las actividades del negocio y roles de usuarios como fuentes de requisitos.</w:t>
            </w:r>
          </w:p>
          <w:p>
            <w:pPr>
              <w:spacing w:after="20"/>
              <w:ind w:left="142" w:hanging="142"/>
            </w:pPr>
            <w:r>
              <w:rPr>
                <w:sz w:val="15"/>
              </w:rPr>
              <w:t>• Factibilidad con cálculo y costos basados en el CIV.</w:t>
            </w:r>
          </w:p>
        </w:tc>
        <w:tc>
          <w:tcPr>
            <w:tcW w:type="dxa" w:w="4535"/>
            <w:shd w:val="clear" w:color="auto" w:fill="F7F0F2"/>
          </w:tcPr>
          <w:p>
            <w:pPr>
              <w:spacing w:after="20"/>
              <w:ind w:left="142" w:hanging="142"/>
            </w:pPr>
            <w:r/>
            <w:r>
              <w:rPr>
                <w:sz w:val="15"/>
              </w:rPr>
              <w:t xml:space="preserve">• </w:t>
            </w:r>
            <w:r>
              <w:rPr>
                <w:b/>
                <w:sz w:val="15"/>
              </w:rPr>
              <w:t>"No tienen referencias ni en la declaración de oportunidad ni en el marco metodológico, ni de las IAs elegidas."</w:t>
            </w:r>
          </w:p>
          <w:p>
            <w:pPr>
              <w:spacing w:after="20"/>
              <w:ind w:left="142" w:hanging="142"/>
            </w:pPr>
            <w:r>
              <w:rPr>
                <w:sz w:val="15"/>
              </w:rPr>
              <w:t>• "Son actividades, no objetivos."</w:t>
            </w:r>
          </w:p>
          <w:p>
            <w:pPr>
              <w:spacing w:after="20"/>
              <w:ind w:left="142" w:hanging="142"/>
            </w:pPr>
            <w:r>
              <w:rPr>
                <w:sz w:val="15"/>
              </w:rPr>
              <w:t>• "Son ustedes quienes van a probar las IAs, no las empresas" / "Ustedes son los RR.HH. especializados" / "no fue bien analizada ni la factibilidad operacional ni la técnica".</w:t>
            </w:r>
          </w:p>
          <w:p>
            <w:pPr>
              <w:spacing w:after="20"/>
              <w:ind w:left="142" w:hanging="142"/>
            </w:pPr>
            <w:r>
              <w:rPr>
                <w:sz w:val="15"/>
              </w:rPr>
              <w:t>• "¿Quién es el cliente? ¿La etapa de Implementación? ¿El plan de implementación y uso de la IA elegida?"</w:t>
            </w:r>
          </w:p>
          <w:p>
            <w:pPr>
              <w:spacing w:after="20"/>
              <w:ind w:left="142" w:hanging="142"/>
            </w:pPr>
            <w:r>
              <w:rPr>
                <w:sz w:val="15"/>
              </w:rPr>
              <w:t>• "¿Actividades ajustadas al proyecto?" "El SRS lo arman con los puntos solicitados."</w:t>
            </w:r>
          </w:p>
          <w:p>
            <w:pPr>
              <w:spacing w:after="20"/>
              <w:ind w:left="142" w:hanging="142"/>
            </w:pPr>
            <w:r>
              <w:rPr>
                <w:sz w:val="15"/>
              </w:rPr>
              <w:t>• Reunión: "no tenían claridad sobre el mercado, faltaron recursos de IA y no tenían modelados los procesos".</w:t>
            </w:r>
          </w:p>
        </w:tc>
      </w:tr>
    </w:tbl>
    <w:p>
      <w:pPr>
        <w:spacing w:after="40"/>
      </w:pPr>
    </w:p>
    <w:p>
      <w:pPr>
        <w:jc w:val="both"/>
      </w:pPr>
      <w:r>
        <w:rPr>
          <w:b/>
          <w:sz w:val="19"/>
        </w:rPr>
        <w:t>Conclusión de la comparación.</w:t>
      </w:r>
      <w:r>
        <w:rPr>
          <w:sz w:val="19"/>
        </w:rPr>
        <w:t xml:space="preserve"> El equipo que más se acercó a lo que pide la profesora fue Aether (mismo tipo de proyecto que el nuestro: consultoría que evalúa apps por mercado): referencias en todo, objetivos con producto tangible, factibilidad bien repartida y apéndices completos. GreenPath obtuvo la nota máxima en un proyecto distinto (desarrollo) gracias a objetivos y limitaciones impecables. SyncMinds aporta la fórmula de costos con el CIV y el apéndice de empresas reales. Café y Solvix son el catálogo de errores a evitar.</w:t>
      </w:r>
    </w:p>
    <w:p>
      <w:r>
        <w:br w:type="page"/>
      </w:r>
    </w:p>
    <w:p>
      <w:pPr>
        <w:pStyle w:val="Heading1"/>
      </w:pPr>
      <w:r>
        <w:t>3. Cada punto del documento y lo que la profesora quiere ver</w:t>
      </w:r>
    </w:p>
    <w:p>
      <w:r>
        <w:rPr>
          <w:color w:val="555555"/>
          <w:sz w:val="18"/>
        </w:rPr>
        <w:t>Puntos tomados del instructivo de la entrega. "Modelo" indica el documento que lo hizo mejor. "Estado" se refiere al borrador adjunto (Borrador-DocumentoVision-Empresa1.docx).</w:t>
      </w:r>
    </w:p>
    <w:tbl>
      <w:tblPr>
        <w:tblStyle w:val="TableGrid"/>
        <w:tblW w:type="auto" w:w="0"/>
        <w:jc w:val="center"/>
        <w:tblLayout w:type="fixed"/>
        <w:tblLook w:firstColumn="1" w:firstRow="1" w:lastColumn="0" w:lastRow="0" w:noHBand="0" w:noVBand="1" w:val="04A0"/>
      </w:tblPr>
      <w:tblGrid>
        <w:gridCol w:w="2338"/>
        <w:gridCol w:w="2338"/>
        <w:gridCol w:w="2338"/>
        <w:gridCol w:w="2338"/>
        <w:gridCol w:w="2338"/>
        <w:gridCol w:w="2338"/>
      </w:tblGrid>
      <w:tr>
        <w:trPr>
          <w:tblHeader w:val="true"/>
        </w:trPr>
        <w:tc>
          <w:tcPr>
            <w:tcW w:type="dxa" w:w="1814"/>
            <w:shd w:val="clear" w:color="auto" w:fill="7A1F3D"/>
          </w:tcPr>
          <w:p>
            <w:r/>
            <w:r>
              <w:rPr>
                <w:b/>
                <w:color w:val="FFFFFF"/>
                <w:sz w:val="14"/>
              </w:rPr>
              <w:t>Punto del documento</w:t>
            </w:r>
          </w:p>
        </w:tc>
        <w:tc>
          <w:tcPr>
            <w:tcW w:type="dxa" w:w="3231"/>
            <w:shd w:val="clear" w:color="auto" w:fill="7A1F3D"/>
          </w:tcPr>
          <w:p>
            <w:r/>
            <w:r>
              <w:rPr>
                <w:b/>
                <w:color w:val="FFFFFF"/>
                <w:sz w:val="14"/>
              </w:rPr>
              <w:t>Qué quiere la profesora</w:t>
            </w:r>
          </w:p>
        </w:tc>
        <w:tc>
          <w:tcPr>
            <w:tcW w:type="dxa" w:w="2551"/>
            <w:shd w:val="clear" w:color="auto" w:fill="7A1F3D"/>
          </w:tcPr>
          <w:p>
            <w:r/>
            <w:r>
              <w:rPr>
                <w:b/>
                <w:color w:val="FFFFFF"/>
                <w:sz w:val="14"/>
              </w:rPr>
              <w:t>Fórmula de redacción que funcionó</w:t>
            </w:r>
          </w:p>
        </w:tc>
        <w:tc>
          <w:tcPr>
            <w:tcW w:type="dxa" w:w="3175"/>
            <w:shd w:val="clear" w:color="auto" w:fill="7A1F3D"/>
          </w:tcPr>
          <w:p>
            <w:r/>
            <w:r>
              <w:rPr>
                <w:b/>
                <w:color w:val="FFFFFF"/>
                <w:sz w:val="14"/>
              </w:rPr>
              <w:t>Qué marcó como error</w:t>
            </w:r>
          </w:p>
        </w:tc>
        <w:tc>
          <w:tcPr>
            <w:tcW w:type="dxa" w:w="2835"/>
            <w:shd w:val="clear" w:color="auto" w:fill="7A1F3D"/>
          </w:tcPr>
          <w:p>
            <w:r/>
            <w:r>
              <w:rPr>
                <w:b/>
                <w:color w:val="FFFFFF"/>
                <w:sz w:val="14"/>
              </w:rPr>
              <w:t>Qué hacemos nosotros (Empresa 1)</w:t>
            </w:r>
          </w:p>
        </w:tc>
        <w:tc>
          <w:tcPr>
            <w:tcW w:type="dxa" w:w="1304"/>
            <w:shd w:val="clear" w:color="auto" w:fill="7A1F3D"/>
          </w:tcPr>
          <w:p>
            <w:r/>
            <w:r>
              <w:rPr>
                <w:b/>
                <w:color w:val="FFFFFF"/>
                <w:sz w:val="14"/>
              </w:rPr>
              <w:t>Estado</w:t>
            </w:r>
          </w:p>
        </w:tc>
      </w:tr>
      <w:tr>
        <w:trPr>
          <w:cantSplit w:val="true"/>
        </w:trPr>
        <w:tc>
          <w:tcPr>
            <w:tcW w:type="dxa" w:w="1814"/>
          </w:tcPr>
          <w:p>
            <w:pPr>
              <w:spacing w:after="20"/>
            </w:pPr>
            <w:r/>
            <w:r>
              <w:rPr>
                <w:b/>
                <w:sz w:val="14"/>
              </w:rPr>
              <w:t>Portada y presentación</w:t>
            </w:r>
          </w:p>
          <w:p>
            <w:pPr>
              <w:spacing w:after="20"/>
            </w:pPr>
            <w:r>
              <w:rPr>
                <w:sz w:val="14"/>
              </w:rPr>
              <w:t>(sin puntos propios; es la primera impresión)</w:t>
            </w:r>
          </w:p>
        </w:tc>
        <w:tc>
          <w:tcPr>
            <w:tcW w:type="dxa" w:w="3231"/>
          </w:tcPr>
          <w:p>
            <w:pPr>
              <w:spacing w:after="20"/>
              <w:ind w:left="142" w:hanging="142"/>
            </w:pPr>
            <w:r/>
            <w:r>
              <w:rPr>
                <w:sz w:val="14"/>
              </w:rPr>
              <w:t>• Portada profesional de empresa: título del proyecto + datos de la empresa, no formato de trabajo académico.</w:t>
            </w:r>
          </w:p>
          <w:p>
            <w:pPr>
              <w:spacing w:after="20"/>
              <w:ind w:left="142" w:hanging="142"/>
            </w:pPr>
            <w:r>
              <w:rPr>
                <w:sz w:val="14"/>
              </w:rPr>
              <w:t>• Estilo propio (logo, nombre y colores) que se usará todo el semestre.</w:t>
            </w:r>
          </w:p>
          <w:p>
            <w:pPr>
              <w:spacing w:after="20"/>
              <w:ind w:left="142" w:hanging="142"/>
            </w:pPr>
            <w:r>
              <w:rPr>
                <w:sz w:val="14"/>
              </w:rPr>
              <w:t>• Tabla de contenido, páginas numeradas, referencias.</w:t>
            </w:r>
          </w:p>
        </w:tc>
        <w:tc>
          <w:tcPr>
            <w:tcW w:type="dxa" w:w="2551"/>
          </w:tcPr>
          <w:p>
            <w:pPr>
              <w:spacing w:after="20"/>
            </w:pPr>
            <w:r/>
            <w:r>
              <w:rPr>
                <w:b/>
                <w:sz w:val="14"/>
              </w:rPr>
              <w:t>Modelo:</w:t>
            </w:r>
            <w:r>
              <w:rPr>
                <w:sz w:val="14"/>
              </w:rPr>
              <w:t xml:space="preserve"> SyncMinds (identidad visual completa, contenido con enlaces).</w:t>
            </w:r>
          </w:p>
          <w:p>
            <w:pPr>
              <w:spacing w:after="20"/>
            </w:pPr>
            <w:r>
              <w:rPr>
                <w:sz w:val="14"/>
              </w:rPr>
              <w:t>Título = nombre + idea en pocas palabras.</w:t>
            </w:r>
          </w:p>
        </w:tc>
        <w:tc>
          <w:tcPr>
            <w:tcW w:type="dxa" w:w="3175"/>
          </w:tcPr>
          <w:p>
            <w:pPr>
              <w:spacing w:after="20"/>
              <w:ind w:left="142" w:hanging="142"/>
            </w:pPr>
            <w:r/>
            <w:r>
              <w:rPr>
                <w:sz w:val="14"/>
              </w:rPr>
              <w:t>• "¿Título del proyecto?" / "¿Nombre del proyecto?" (Aether, Solvix).</w:t>
            </w:r>
          </w:p>
          <w:p>
            <w:pPr>
              <w:spacing w:after="20"/>
              <w:ind w:left="142" w:hanging="142"/>
            </w:pPr>
            <w:r>
              <w:rPr>
                <w:sz w:val="14"/>
              </w:rPr>
              <w:t>• "Título muy largo; mercado limitado a un solo país" (Café).</w:t>
            </w:r>
          </w:p>
          <w:p>
            <w:pPr>
              <w:spacing w:after="20"/>
              <w:ind w:left="142" w:hanging="142"/>
            </w:pPr>
            <w:r>
              <w:rPr>
                <w:sz w:val="14"/>
              </w:rPr>
              <w:t>• "Quiten lo de la profesora… la fecha tampoco está bien" (GreenPath).</w:t>
            </w:r>
          </w:p>
          <w:p>
            <w:pPr>
              <w:spacing w:after="20"/>
              <w:ind w:left="142" w:hanging="142"/>
            </w:pPr>
            <w:r>
              <w:rPr>
                <w:sz w:val="14"/>
              </w:rPr>
              <w:t>• Apéndices ausentes del contenido (Aether).</w:t>
            </w:r>
          </w:p>
        </w:tc>
        <w:tc>
          <w:tcPr>
            <w:tcW w:type="dxa" w:w="2835"/>
          </w:tcPr>
          <w:p>
            <w:pPr>
              <w:spacing w:after="20"/>
              <w:ind w:left="142" w:hanging="142"/>
            </w:pPr>
            <w:r/>
            <w:r>
              <w:rPr>
                <w:sz w:val="14"/>
              </w:rPr>
              <w:t xml:space="preserve">• Elegir </w:t>
            </w:r>
            <w:r>
              <w:rPr>
                <w:b/>
                <w:sz w:val="14"/>
              </w:rPr>
              <w:t>nombre de empresa, logo y paleta</w:t>
            </w:r>
            <w:r>
              <w:rPr>
                <w:sz w:val="14"/>
              </w:rPr>
              <w:t xml:space="preserve"> (esta semana).</w:t>
            </w:r>
          </w:p>
          <w:p>
            <w:pPr>
              <w:spacing w:after="20"/>
              <w:ind w:left="142" w:hanging="142"/>
            </w:pPr>
            <w:r>
              <w:rPr>
                <w:sz w:val="14"/>
              </w:rPr>
              <w:t>• Título de ≤ 8 palabras que no mencione Venezuela.</w:t>
            </w:r>
          </w:p>
          <w:p>
            <w:pPr>
              <w:spacing w:after="20"/>
              <w:ind w:left="142" w:hanging="142"/>
            </w:pPr>
            <w:r>
              <w:rPr>
                <w:sz w:val="14"/>
              </w:rPr>
              <w:t>• Sin el nombre de la profesora; fecha de entrega.</w:t>
            </w:r>
          </w:p>
          <w:p>
            <w:pPr>
              <w:spacing w:after="20"/>
              <w:ind w:left="142" w:hanging="142"/>
            </w:pPr>
            <w:r>
              <w:rPr>
                <w:sz w:val="14"/>
              </w:rPr>
              <w:t>• Integrantes con su rol (Analista, Arquitecto, Desarrollador).</w:t>
            </w:r>
          </w:p>
        </w:tc>
        <w:tc>
          <w:tcPr>
            <w:tcW w:type="dxa" w:w="1304"/>
          </w:tcPr>
          <w:p>
            <w:pPr>
              <w:spacing w:after="20"/>
            </w:pPr>
            <w:r/>
            <w:r>
              <w:rPr>
                <w:sz w:val="14"/>
                <w:highlight w:val="yellow"/>
              </w:rPr>
              <w:t>[Pendiente: nombre, logo, colores y título]</w:t>
            </w:r>
            <w:r>
              <w:rPr>
                <w:sz w:val="14"/>
              </w:rPr>
              <w:t>. Portada con marcadores; contenido incluye apéndices.</w:t>
            </w:r>
          </w:p>
        </w:tc>
      </w:tr>
      <w:tr>
        <w:trPr>
          <w:cantSplit w:val="true"/>
        </w:trPr>
        <w:tc>
          <w:tcPr>
            <w:tcW w:type="dxa" w:w="1814"/>
            <w:shd w:val="clear" w:color="auto" w:fill="F7F0F2"/>
          </w:tcPr>
          <w:p>
            <w:pPr>
              <w:spacing w:after="20"/>
            </w:pPr>
            <w:r/>
            <w:r>
              <w:rPr>
                <w:b/>
                <w:sz w:val="14"/>
              </w:rPr>
              <w:t>1. Declaración de oportunidad</w:t>
            </w:r>
          </w:p>
          <w:p>
            <w:pPr>
              <w:spacing w:after="20"/>
            </w:pPr>
            <w:r>
              <w:rPr>
                <w:sz w:val="14"/>
              </w:rPr>
              <w:t xml:space="preserve">Máx. 2 págs · </w:t>
            </w:r>
            <w:r>
              <w:rPr>
                <w:b/>
                <w:sz w:val="14"/>
              </w:rPr>
              <w:t>0,25 pto</w:t>
            </w:r>
          </w:p>
        </w:tc>
        <w:tc>
          <w:tcPr>
            <w:tcW w:type="dxa" w:w="3231"/>
            <w:shd w:val="clear" w:color="auto" w:fill="F7F0F2"/>
          </w:tcPr>
          <w:p>
            <w:pPr>
              <w:spacing w:after="20"/>
              <w:ind w:left="142" w:hanging="142"/>
            </w:pPr>
            <w:r/>
            <w:r>
              <w:rPr>
                <w:sz w:val="14"/>
              </w:rPr>
              <w:t xml:space="preserve">• Partir de la realidad del mercado con datos citados y llegar a la </w:t>
            </w:r>
            <w:r>
              <w:rPr>
                <w:b/>
                <w:sz w:val="14"/>
              </w:rPr>
              <w:t>oportunidad</w:t>
            </w:r>
            <w:r>
              <w:rPr>
                <w:sz w:val="14"/>
              </w:rPr>
              <w:t>.</w:t>
            </w:r>
          </w:p>
          <w:p>
            <w:pPr>
              <w:spacing w:after="20"/>
              <w:ind w:left="142" w:hanging="142"/>
            </w:pPr>
            <w:r>
              <w:rPr>
                <w:sz w:val="14"/>
              </w:rPr>
              <w:t>• Mercado bien delimitado y comprendido (la reunión penaliza "no tenían claridad sobre el mercado").</w:t>
            </w:r>
          </w:p>
          <w:p>
            <w:pPr>
              <w:spacing w:after="20"/>
              <w:ind w:left="142" w:hanging="142"/>
            </w:pPr>
            <w:r>
              <w:rPr>
                <w:sz w:val="14"/>
              </w:rPr>
              <w:t>• Procesos/actividades del mercado y su problema.</w:t>
            </w:r>
          </w:p>
          <w:p>
            <w:pPr>
              <w:spacing w:after="20"/>
              <w:ind w:left="142" w:hanging="142"/>
            </w:pPr>
            <w:r>
              <w:rPr>
                <w:sz w:val="14"/>
              </w:rPr>
              <w:t>• Aterrizar en la realidad del país (conectividad, electricidad, recursos).</w:t>
            </w:r>
          </w:p>
          <w:p>
            <w:pPr>
              <w:spacing w:after="20"/>
              <w:ind w:left="142" w:hanging="142"/>
            </w:pPr>
            <w:r>
              <w:rPr>
                <w:sz w:val="14"/>
              </w:rPr>
              <w:t>• Cerrar con el resultado esperado.</w:t>
            </w:r>
          </w:p>
        </w:tc>
        <w:tc>
          <w:tcPr>
            <w:tcW w:type="dxa" w:w="2551"/>
            <w:shd w:val="clear" w:color="auto" w:fill="F7F0F2"/>
          </w:tcPr>
          <w:p>
            <w:pPr>
              <w:spacing w:after="20"/>
            </w:pPr>
            <w:r/>
            <w:r>
              <w:rPr>
                <w:b/>
                <w:sz w:val="14"/>
              </w:rPr>
              <w:t>Modelo:</w:t>
            </w:r>
            <w:r>
              <w:rPr>
                <w:sz w:val="14"/>
              </w:rPr>
              <w:t xml:space="preserve"> Aether.</w:t>
            </w:r>
          </w:p>
          <w:p>
            <w:pPr>
              <w:spacing w:after="20"/>
            </w:pPr>
            <w:r>
              <w:rPr>
                <w:sz w:val="14"/>
              </w:rPr>
              <w:t>Orden: tema global [1][2] → barrera [2][3] → mercado A con cifra [4][5][7] → mercado B con cifra [8][10] → brecha [11][12] → oportunidad → resultado esperado por mercado.</w:t>
            </w:r>
          </w:p>
          <w:p>
            <w:pPr>
              <w:spacing w:after="20"/>
            </w:pPr>
            <w:r>
              <w:rPr>
                <w:b/>
                <w:sz w:val="14"/>
              </w:rPr>
              <w:t>Fórmula de la profesora:</w:t>
            </w:r>
            <w:r>
              <w:rPr>
                <w:sz w:val="14"/>
              </w:rPr>
              <w:t xml:space="preserve"> hipótesis primero, entrevistas para validar.</w:t>
            </w:r>
          </w:p>
        </w:tc>
        <w:tc>
          <w:tcPr>
            <w:tcW w:type="dxa" w:w="3175"/>
            <w:shd w:val="clear" w:color="auto" w:fill="F7F0F2"/>
          </w:tcPr>
          <w:p>
            <w:pPr>
              <w:spacing w:after="20"/>
              <w:ind w:left="142" w:hanging="142"/>
            </w:pPr>
            <w:r/>
            <w:r>
              <w:rPr>
                <w:sz w:val="14"/>
              </w:rPr>
              <w:t>• Sin referencias (Solvix): "grave problema".</w:t>
            </w:r>
          </w:p>
          <w:p>
            <w:pPr>
              <w:spacing w:after="20"/>
              <w:ind w:left="142" w:hanging="142"/>
            </w:pPr>
            <w:r>
              <w:rPr>
                <w:sz w:val="14"/>
              </w:rPr>
              <w:t>• "No colocaron la referencia aquí" (Aether).</w:t>
            </w:r>
          </w:p>
          <w:p>
            <w:pPr>
              <w:spacing w:after="20"/>
              <w:ind w:left="142" w:hanging="142"/>
            </w:pPr>
            <w:r>
              <w:rPr>
                <w:sz w:val="14"/>
              </w:rPr>
              <w:t>• Sustentar sólo para un país "sin conocimiento profundo de la realidad de esos negocios" (Café).</w:t>
            </w:r>
          </w:p>
          <w:p>
            <w:pPr>
              <w:spacing w:after="20"/>
              <w:ind w:left="142" w:hanging="142"/>
            </w:pPr>
            <w:r>
              <w:rPr>
                <w:sz w:val="14"/>
              </w:rPr>
              <w:t>• Confundir el proceso (primario/soporte) o dejarlo sin clasificar.</w:t>
            </w:r>
          </w:p>
        </w:tc>
        <w:tc>
          <w:tcPr>
            <w:tcW w:type="dxa" w:w="2835"/>
            <w:shd w:val="clear" w:color="auto" w:fill="F7F0F2"/>
          </w:tcPr>
          <w:p>
            <w:pPr>
              <w:spacing w:after="20"/>
              <w:ind w:left="142" w:hanging="142"/>
            </w:pPr>
            <w:r/>
            <w:r>
              <w:rPr>
                <w:sz w:val="14"/>
              </w:rPr>
              <w:t>• Mercado: estudiantes de último año de Derecho.</w:t>
            </w:r>
          </w:p>
          <w:p>
            <w:pPr>
              <w:spacing w:after="20"/>
              <w:ind w:left="142" w:hanging="142"/>
            </w:pPr>
            <w:r>
              <w:rPr>
                <w:sz w:val="14"/>
              </w:rPr>
              <w:t>• Actividades primarias: aprender, revisiones documentales, buscar pasantía/trabajo de grado, inserción laboral (aclaración del 15/10).</w:t>
            </w:r>
          </w:p>
          <w:p>
            <w:pPr>
              <w:spacing w:after="20"/>
              <w:ind w:left="142" w:hanging="142"/>
            </w:pPr>
            <w:r>
              <w:rPr>
                <w:sz w:val="14"/>
              </w:rPr>
              <w:t>• Problemas validados el 16/10: conflicto de 3 agendas, búsqueda informal de pasantías, redacción de contratos y jurisprudencia repetitivas.</w:t>
            </w:r>
          </w:p>
          <w:p>
            <w:pPr>
              <w:spacing w:after="20"/>
              <w:ind w:left="142" w:hanging="142"/>
            </w:pPr>
            <w:r>
              <w:rPr>
                <w:sz w:val="14"/>
              </w:rPr>
              <w:t xml:space="preserve">• Reconocer lo que el software </w:t>
            </w:r>
            <w:r>
              <w:rPr>
                <w:b/>
                <w:sz w:val="14"/>
              </w:rPr>
              <w:t>no</w:t>
            </w:r>
            <w:r>
              <w:rPr>
                <w:sz w:val="14"/>
              </w:rPr>
              <w:t xml:space="preserve"> resuelve (registros y tribunales).</w:t>
            </w:r>
          </w:p>
          <w:p>
            <w:pPr>
              <w:spacing w:after="20"/>
              <w:ind w:left="142" w:hanging="142"/>
            </w:pPr>
            <w:r>
              <w:rPr>
                <w:sz w:val="14"/>
              </w:rPr>
              <w:t>• Citar pensum, ley de servicio comunitario y cifras de IA legal.</w:t>
            </w:r>
          </w:p>
        </w:tc>
        <w:tc>
          <w:tcPr>
            <w:tcW w:type="dxa" w:w="1304"/>
            <w:shd w:val="clear" w:color="auto" w:fill="F7F0F2"/>
          </w:tcPr>
          <w:p>
            <w:pPr>
              <w:spacing w:after="20"/>
            </w:pPr>
            <w:r/>
            <w:r>
              <w:rPr>
                <w:sz w:val="14"/>
              </w:rPr>
              <w:t xml:space="preserve">Redactada con las dos conversaciones. </w:t>
            </w:r>
            <w:r>
              <w:rPr>
                <w:sz w:val="14"/>
                <w:highlight w:val="yellow"/>
              </w:rPr>
              <w:t>[Faltan 3–4 cifras con referencia y el pensum]</w:t>
            </w:r>
            <w:r>
              <w:rPr>
                <w:sz w:val="14"/>
              </w:rPr>
              <w:t>.</w:t>
            </w:r>
          </w:p>
        </w:tc>
      </w:tr>
      <w:tr>
        <w:trPr>
          <w:cantSplit w:val="true"/>
        </w:trPr>
        <w:tc>
          <w:tcPr>
            <w:tcW w:type="dxa" w:w="1814"/>
          </w:tcPr>
          <w:p>
            <w:pPr>
              <w:spacing w:after="20"/>
            </w:pPr>
            <w:r/>
            <w:r>
              <w:rPr>
                <w:b/>
                <w:sz w:val="14"/>
              </w:rPr>
              <w:t>2. Solución informática propuesta</w:t>
            </w:r>
          </w:p>
          <w:p>
            <w:pPr>
              <w:spacing w:after="20"/>
            </w:pPr>
            <w:r>
              <w:rPr>
                <w:sz w:val="14"/>
              </w:rPr>
              <w:t xml:space="preserve">Máx. 2 págs · </w:t>
            </w:r>
            <w:r>
              <w:rPr>
                <w:b/>
                <w:sz w:val="14"/>
              </w:rPr>
              <w:t>0,5 pto</w:t>
            </w:r>
          </w:p>
          <w:p>
            <w:pPr>
              <w:spacing w:after="20"/>
            </w:pPr>
            <w:r>
              <w:rPr>
                <w:sz w:val="14"/>
              </w:rPr>
              <w:t>(debe indicar el flujo de valor y las parejas responsables)</w:t>
            </w:r>
          </w:p>
        </w:tc>
        <w:tc>
          <w:tcPr>
            <w:tcW w:type="dxa" w:w="3231"/>
          </w:tcPr>
          <w:p>
            <w:pPr>
              <w:spacing w:after="20"/>
              <w:ind w:left="142" w:hanging="142"/>
            </w:pPr>
            <w:r/>
            <w:r>
              <w:rPr>
                <w:sz w:val="14"/>
              </w:rPr>
              <w:t xml:space="preserve">• Al menos </w:t>
            </w:r>
            <w:r>
              <w:rPr>
                <w:b/>
                <w:sz w:val="14"/>
              </w:rPr>
              <w:t>dos apps</w:t>
            </w:r>
            <w:r>
              <w:rPr>
                <w:sz w:val="14"/>
              </w:rPr>
              <w:t>: una especializada con IA (actividad primaria o apoyo a decisiones estratégicas) y una general (actividades administrativas o de apoyo).</w:t>
            </w:r>
          </w:p>
          <w:p>
            <w:pPr>
              <w:spacing w:after="20"/>
              <w:ind w:left="142" w:hanging="142"/>
            </w:pPr>
            <w:r>
              <w:rPr>
                <w:sz w:val="14"/>
              </w:rPr>
              <w:t xml:space="preserve">• Apps </w:t>
            </w:r>
            <w:r>
              <w:rPr>
                <w:b/>
                <w:sz w:val="14"/>
              </w:rPr>
              <w:t>comerciales ya disponibles</w:t>
            </w:r>
            <w:r>
              <w:rPr>
                <w:sz w:val="14"/>
              </w:rPr>
              <w:t>, justificadas según los requisitos de la oportunidad.</w:t>
            </w:r>
          </w:p>
          <w:p>
            <w:pPr>
              <w:spacing w:after="20"/>
              <w:ind w:left="142" w:hanging="142"/>
            </w:pPr>
            <w:r>
              <w:rPr>
                <w:sz w:val="14"/>
              </w:rPr>
              <w:t xml:space="preserve">• </w:t>
            </w:r>
            <w:r>
              <w:rPr>
                <w:b/>
                <w:sz w:val="14"/>
              </w:rPr>
              <w:t>Flujo de valor</w:t>
            </w:r>
            <w:r>
              <w:rPr>
                <w:sz w:val="14"/>
              </w:rPr>
              <w:t xml:space="preserve"> integrado para el mercado.</w:t>
            </w:r>
          </w:p>
          <w:p>
            <w:pPr>
              <w:spacing w:after="20"/>
              <w:ind w:left="142" w:hanging="142"/>
            </w:pPr>
            <w:r>
              <w:rPr>
                <w:sz w:val="14"/>
              </w:rPr>
              <w:t xml:space="preserve">• </w:t>
            </w:r>
            <w:r>
              <w:rPr>
                <w:b/>
                <w:sz w:val="14"/>
              </w:rPr>
              <w:t>Pareja responsable</w:t>
            </w:r>
            <w:r>
              <w:rPr>
                <w:sz w:val="14"/>
              </w:rPr>
              <w:t xml:space="preserve"> de cada componente.</w:t>
            </w:r>
          </w:p>
          <w:p>
            <w:pPr>
              <w:spacing w:after="20"/>
              <w:ind w:left="142" w:hanging="142"/>
            </w:pPr>
            <w:r>
              <w:rPr>
                <w:sz w:val="14"/>
              </w:rPr>
              <w:t xml:space="preserve">• Valoración: beneficios tangibles, pertinencia vs actividades, avances tecnológicos de la profesión y </w:t>
            </w:r>
            <w:r>
              <w:rPr>
                <w:b/>
                <w:sz w:val="14"/>
              </w:rPr>
              <w:t>menor cantidad de proveedores</w:t>
            </w:r>
            <w:r>
              <w:rPr>
                <w:sz w:val="14"/>
              </w:rPr>
              <w:t>.</w:t>
            </w:r>
          </w:p>
        </w:tc>
        <w:tc>
          <w:tcPr>
            <w:tcW w:type="dxa" w:w="2551"/>
          </w:tcPr>
          <w:p>
            <w:pPr>
              <w:spacing w:after="20"/>
            </w:pPr>
            <w:r/>
            <w:r>
              <w:rPr>
                <w:b/>
                <w:sz w:val="14"/>
              </w:rPr>
              <w:t>Modelo:</w:t>
            </w:r>
            <w:r>
              <w:rPr>
                <w:sz w:val="14"/>
              </w:rPr>
              <w:t xml:space="preserve"> Aether y SyncMinds.</w:t>
            </w:r>
          </w:p>
          <w:p>
            <w:pPr>
              <w:spacing w:after="20"/>
            </w:pPr>
            <w:r>
              <w:rPr>
                <w:sz w:val="14"/>
              </w:rPr>
              <w:t>Por componente: responsables → herramienta 1 [ref] con funcionalidades → herramienta 2 [ref] → "Impacto en oportunidad" → implicaciones técnicas y compatibilidad.</w:t>
            </w:r>
          </w:p>
          <w:p>
            <w:pPr>
              <w:spacing w:after="20"/>
            </w:pPr>
            <w:r>
              <w:rPr>
                <w:sz w:val="14"/>
              </w:rPr>
              <w:t>Aether cita la herramienta cada vez que la menciona.</w:t>
            </w:r>
          </w:p>
        </w:tc>
        <w:tc>
          <w:tcPr>
            <w:tcW w:type="dxa" w:w="3175"/>
          </w:tcPr>
          <w:p>
            <w:pPr>
              <w:spacing w:after="20"/>
              <w:ind w:left="142" w:hanging="142"/>
            </w:pPr>
            <w:r/>
            <w:r>
              <w:rPr>
                <w:sz w:val="14"/>
              </w:rPr>
              <w:t>• "Lo propuesto está integrado, sin embargo no se ve que aplique a la realidad" (Café).</w:t>
            </w:r>
          </w:p>
          <w:p>
            <w:pPr>
              <w:spacing w:after="20"/>
              <w:ind w:left="142" w:hanging="142"/>
            </w:pPr>
            <w:r>
              <w:rPr>
                <w:sz w:val="14"/>
              </w:rPr>
              <w:t>• Redacción en pasado/como si todo existiera y los recursos fueran autónomos.</w:t>
            </w:r>
          </w:p>
          <w:p>
            <w:pPr>
              <w:spacing w:after="20"/>
              <w:ind w:left="142" w:hanging="142"/>
            </w:pPr>
            <w:r>
              <w:rPr>
                <w:sz w:val="14"/>
              </w:rPr>
              <w:t>• Un SI "no puede ser al mismo tiempo un Backoffice y soportar decisiones estratégicas" (oral Café): clasificar bien cada app.</w:t>
            </w:r>
          </w:p>
          <w:p>
            <w:pPr>
              <w:spacing w:after="20"/>
              <w:ind w:left="142" w:hanging="142"/>
            </w:pPr>
            <w:r>
              <w:rPr>
                <w:sz w:val="14"/>
              </w:rPr>
              <w:t>• Herramientas sin referencia (Solvix).</w:t>
            </w:r>
          </w:p>
          <w:p>
            <w:pPr>
              <w:spacing w:after="20"/>
              <w:ind w:left="142" w:hanging="142"/>
            </w:pPr>
            <w:r>
              <w:rPr>
                <w:sz w:val="14"/>
              </w:rPr>
              <w:t>• Ninguna app repetida con otros equipos ("riesgo por duplicidad").</w:t>
            </w:r>
          </w:p>
        </w:tc>
        <w:tc>
          <w:tcPr>
            <w:tcW w:type="dxa" w:w="2835"/>
          </w:tcPr>
          <w:p>
            <w:pPr>
              <w:spacing w:after="20"/>
              <w:ind w:left="142" w:hanging="142"/>
            </w:pPr>
            <w:r/>
            <w:r>
              <w:rPr>
                <w:sz w:val="14"/>
              </w:rPr>
              <w:t>• Especializada: Spellbook vs Gavel (armado de contratos por bloques de cláusulas). Alternas en §6.</w:t>
            </w:r>
          </w:p>
          <w:p>
            <w:pPr>
              <w:spacing w:after="20"/>
              <w:ind w:left="142" w:hanging="142"/>
            </w:pPr>
            <w:r>
              <w:rPr>
                <w:sz w:val="14"/>
              </w:rPr>
              <w:t>• General: Reclaim.ai vs Motion (3 agendas). Alternas en §6.</w:t>
            </w:r>
          </w:p>
          <w:p>
            <w:pPr>
              <w:spacing w:after="20"/>
              <w:ind w:left="142" w:hanging="142"/>
            </w:pPr>
            <w:r>
              <w:rPr>
                <w:sz w:val="14"/>
              </w:rPr>
              <w:t>• Parejas: A–B especializada, B–C general, A–C puente.</w:t>
            </w:r>
          </w:p>
          <w:p>
            <w:pPr>
              <w:spacing w:after="20"/>
              <w:ind w:left="142" w:hanging="142"/>
            </w:pPr>
            <w:r>
              <w:rPr>
                <w:sz w:val="14"/>
              </w:rPr>
              <w:t>• Criterios nuevos por la IA: español y derecho continental (civil law).</w:t>
            </w:r>
          </w:p>
          <w:p>
            <w:pPr>
              <w:spacing w:after="20"/>
              <w:ind w:left="142" w:hanging="142"/>
            </w:pPr>
            <w:r>
              <w:rPr>
                <w:sz w:val="14"/>
              </w:rPr>
              <w:t>• Poner el flujo de 5 pasos de izquierda a derecha.</w:t>
            </w:r>
          </w:p>
        </w:tc>
        <w:tc>
          <w:tcPr>
            <w:tcW w:type="dxa" w:w="1304"/>
          </w:tcPr>
          <w:p>
            <w:pPr>
              <w:spacing w:after="20"/>
            </w:pPr>
            <w:r/>
            <w:r>
              <w:rPr>
                <w:sz w:val="14"/>
              </w:rPr>
              <w:t xml:space="preserve">Redactada con flujo (Fig. 1), tabla de componentes y parejas. </w:t>
            </w:r>
            <w:r>
              <w:rPr>
                <w:sz w:val="14"/>
                <w:highlight w:val="yellow"/>
              </w:rPr>
              <w:t>[Falta probar cada app y reservarlas con la profesora el 22/10]</w:t>
            </w:r>
            <w:r>
              <w:rPr>
                <w:sz w:val="14"/>
              </w:rPr>
              <w:t>.</w:t>
            </w:r>
          </w:p>
        </w:tc>
      </w:tr>
      <w:tr>
        <w:trPr>
          <w:cantSplit w:val="true"/>
        </w:trPr>
        <w:tc>
          <w:tcPr>
            <w:tcW w:type="dxa" w:w="1814"/>
            <w:shd w:val="clear" w:color="auto" w:fill="F7F0F2"/>
          </w:tcPr>
          <w:p>
            <w:pPr>
              <w:spacing w:after="20"/>
            </w:pPr>
            <w:r/>
            <w:r>
              <w:rPr>
                <w:b/>
                <w:sz w:val="14"/>
              </w:rPr>
              <w:t>3. Objetivo general</w:t>
            </w:r>
          </w:p>
          <w:p>
            <w:pPr>
              <w:spacing w:after="20"/>
            </w:pPr>
            <w:r>
              <w:rPr>
                <w:b/>
                <w:sz w:val="14"/>
              </w:rPr>
              <w:t>0,5 pto</w:t>
            </w:r>
            <w:r>
              <w:rPr>
                <w:sz w:val="14"/>
              </w:rPr>
              <w:t xml:space="preserve"> (junto con específicos, alcance y limitaciones)</w:t>
            </w:r>
          </w:p>
        </w:tc>
        <w:tc>
          <w:tcPr>
            <w:tcW w:type="dxa" w:w="3231"/>
            <w:shd w:val="clear" w:color="auto" w:fill="F7F0F2"/>
          </w:tcPr>
          <w:p>
            <w:pPr>
              <w:spacing w:after="20"/>
              <w:ind w:left="142" w:hanging="142"/>
            </w:pPr>
            <w:r/>
            <w:r>
              <w:rPr>
                <w:sz w:val="14"/>
              </w:rPr>
              <w:t xml:space="preserve">• Acción cuya realización produce un resultado </w:t>
            </w:r>
            <w:r>
              <w:rPr>
                <w:b/>
                <w:sz w:val="14"/>
              </w:rPr>
              <w:t>tangible</w:t>
            </w:r>
            <w:r>
              <w:rPr>
                <w:sz w:val="14"/>
              </w:rPr>
              <w:t xml:space="preserve">; comienza con un </w:t>
            </w:r>
            <w:r>
              <w:rPr>
                <w:b/>
                <w:sz w:val="14"/>
              </w:rPr>
              <w:t>verbo</w:t>
            </w:r>
            <w:r>
              <w:rPr>
                <w:sz w:val="14"/>
              </w:rPr>
              <w:t>; ≤ 2 líneas; cualquier lector entiende el producto sin explicación.</w:t>
            </w:r>
          </w:p>
          <w:p>
            <w:pPr>
              <w:spacing w:after="20"/>
              <w:ind w:left="142" w:hanging="142"/>
            </w:pPr>
            <w:r>
              <w:rPr>
                <w:sz w:val="14"/>
              </w:rPr>
              <w:t>• El verbo corresponde a etapas del CVDS ("desarrollar" implica llegar a producción; "proponer" no).</w:t>
            </w:r>
          </w:p>
          <w:p>
            <w:pPr>
              <w:spacing w:after="20"/>
              <w:ind w:left="142" w:hanging="142"/>
            </w:pPr>
            <w:r>
              <w:rPr>
                <w:sz w:val="14"/>
              </w:rPr>
              <w:t>• Sin recursos, fechas ni procedimiento.</w:t>
            </w:r>
          </w:p>
        </w:tc>
        <w:tc>
          <w:tcPr>
            <w:tcW w:type="dxa" w:w="2551"/>
            <w:shd w:val="clear" w:color="auto" w:fill="F7F0F2"/>
          </w:tcPr>
          <w:p>
            <w:pPr>
              <w:spacing w:after="20"/>
            </w:pPr>
            <w:r/>
            <w:r>
              <w:rPr>
                <w:b/>
                <w:sz w:val="14"/>
              </w:rPr>
              <w:t>Modelo de la profesora</w:t>
            </w:r>
            <w:r>
              <w:rPr>
                <w:sz w:val="14"/>
              </w:rPr>
              <w:t xml:space="preserve"> (comentario en SyncMinds): "Desarrollar una suite informática que apoye los procesos tales del mercado tal…".</w:t>
            </w:r>
          </w:p>
          <w:p>
            <w:pPr>
              <w:spacing w:after="20"/>
            </w:pPr>
            <w:r>
              <w:rPr>
                <w:sz w:val="14"/>
              </w:rPr>
              <w:t>GreenPath: "Diseñar e implementar [producto], que permita a [usuarios] [crear, gestionar y evaluar X]".</w:t>
            </w:r>
          </w:p>
        </w:tc>
        <w:tc>
          <w:tcPr>
            <w:tcW w:type="dxa" w:w="3175"/>
            <w:shd w:val="clear" w:color="auto" w:fill="F7F0F2"/>
          </w:tcPr>
          <w:p>
            <w:pPr>
              <w:spacing w:after="20"/>
              <w:ind w:left="142" w:hanging="142"/>
            </w:pPr>
            <w:r/>
            <w:r>
              <w:rPr>
                <w:sz w:val="14"/>
              </w:rPr>
              <w:t>• SyncMinds: párrafo de 6 líneas con "mediante la evaluación…", "orientada a…", fechas "Abril a Noviembre 2026" → "Hicieron un resumen, no redactaron un objetivo; lo resaltado no va".</w:t>
            </w:r>
          </w:p>
          <w:p>
            <w:pPr>
              <w:spacing w:after="20"/>
              <w:ind w:left="142" w:hanging="142"/>
            </w:pPr>
            <w:r>
              <w:rPr>
                <w:sz w:val="14"/>
              </w:rPr>
              <w:t>• Café: "Todo lo resaltado no va en el objetivo".</w:t>
            </w:r>
          </w:p>
          <w:p>
            <w:pPr>
              <w:spacing w:after="20"/>
              <w:ind w:left="142" w:hanging="142"/>
            </w:pPr>
            <w:r>
              <w:rPr>
                <w:sz w:val="14"/>
              </w:rPr>
              <w:t>• Dos objetivos generales para un mismo SI sin razón (GreenPath: sólo válido porque eran 2 cursos).</w:t>
            </w:r>
          </w:p>
        </w:tc>
        <w:tc>
          <w:tcPr>
            <w:tcW w:type="dxa" w:w="2835"/>
            <w:shd w:val="clear" w:color="auto" w:fill="F7F0F2"/>
          </w:tcPr>
          <w:p>
            <w:pPr>
              <w:spacing w:after="20"/>
            </w:pPr>
            <w:r/>
            <w:r>
              <w:rPr>
                <w:sz w:val="14"/>
              </w:rPr>
              <w:t>"Desarrollar una solución informática integrada, compuesta por una aplicación Legal Tech con IA y una de uso general, que apoye la coordinación de la pasantía y la redacción de contratos de los estudiantes de último año de Derecho."</w:t>
            </w:r>
          </w:p>
          <w:p>
            <w:pPr>
              <w:spacing w:after="20"/>
            </w:pPr>
            <w:r>
              <w:rPr>
                <w:sz w:val="14"/>
              </w:rPr>
              <w:t>Verificar con la profesora si "desarrollar" o "proponer" es el verbo que corresponde para un proyecto de consultoría.</w:t>
            </w:r>
          </w:p>
        </w:tc>
        <w:tc>
          <w:tcPr>
            <w:tcW w:type="dxa" w:w="1304"/>
            <w:shd w:val="clear" w:color="auto" w:fill="F7F0F2"/>
          </w:tcPr>
          <w:p>
            <w:pPr>
              <w:spacing w:after="20"/>
            </w:pPr>
            <w:r/>
            <w:r>
              <w:rPr>
                <w:sz w:val="14"/>
              </w:rPr>
              <w:t xml:space="preserve">Redactado (2 líneas). </w:t>
            </w:r>
            <w:r>
              <w:rPr>
                <w:sz w:val="14"/>
                <w:highlight w:val="yellow"/>
              </w:rPr>
              <w:t>[Confirmar verbo en la consulta]</w:t>
            </w:r>
            <w:r>
              <w:rPr>
                <w:sz w:val="14"/>
              </w:rPr>
              <w:t>.</w:t>
            </w:r>
          </w:p>
        </w:tc>
      </w:tr>
      <w:tr>
        <w:trPr>
          <w:cantSplit w:val="true"/>
        </w:trPr>
        <w:tc>
          <w:tcPr>
            <w:tcW w:type="dxa" w:w="1814"/>
          </w:tcPr>
          <w:p>
            <w:pPr>
              <w:spacing w:after="20"/>
            </w:pPr>
            <w:r/>
            <w:r>
              <w:rPr>
                <w:b/>
                <w:sz w:val="14"/>
              </w:rPr>
              <w:t>3.1 Objetivos específicos y alcance</w:t>
            </w:r>
          </w:p>
        </w:tc>
        <w:tc>
          <w:tcPr>
            <w:tcW w:type="dxa" w:w="3231"/>
          </w:tcPr>
          <w:p>
            <w:pPr>
              <w:spacing w:after="20"/>
              <w:ind w:left="142" w:hanging="142"/>
            </w:pPr>
            <w:r/>
            <w:r>
              <w:rPr>
                <w:sz w:val="14"/>
              </w:rPr>
              <w:t xml:space="preserve">• Cada uno hace referencia a una de las 4 partes del SI (hardware, software, redes, personas) y produce un </w:t>
            </w:r>
            <w:r>
              <w:rPr>
                <w:b/>
                <w:sz w:val="14"/>
              </w:rPr>
              <w:t>producto relevante</w:t>
            </w:r>
            <w:r>
              <w:rPr>
                <w:sz w:val="14"/>
              </w:rPr>
              <w:t>; la suma de los productos produce el general.</w:t>
            </w:r>
          </w:p>
          <w:p>
            <w:pPr>
              <w:spacing w:after="20"/>
              <w:ind w:left="142" w:hanging="142"/>
            </w:pPr>
            <w:r>
              <w:rPr>
                <w:sz w:val="14"/>
              </w:rPr>
              <w:t xml:space="preserve">• Elegir/instalar/configurar equipos, levantar requisitos, analizar, hacer pruebas = </w:t>
            </w:r>
            <w:r>
              <w:rPr>
                <w:b/>
                <w:sz w:val="14"/>
              </w:rPr>
              <w:t>actividades obligatorias</w:t>
            </w:r>
            <w:r>
              <w:rPr>
                <w:sz w:val="14"/>
              </w:rPr>
              <w:t>, van en el marco metodológico y la planificación.</w:t>
            </w:r>
          </w:p>
          <w:p>
            <w:pPr>
              <w:spacing w:after="20"/>
              <w:ind w:left="142" w:hanging="142"/>
            </w:pPr>
            <w:r>
              <w:rPr>
                <w:sz w:val="14"/>
              </w:rPr>
              <w:t>• Documentar procesos existentes no es objetivo (no se crea nada); rediseñarlos, sí.</w:t>
            </w:r>
          </w:p>
          <w:p>
            <w:pPr>
              <w:spacing w:after="20"/>
              <w:ind w:left="142" w:hanging="142"/>
            </w:pPr>
            <w:r>
              <w:rPr>
                <w:sz w:val="14"/>
              </w:rPr>
              <w:t xml:space="preserve">• </w:t>
            </w:r>
            <w:r>
              <w:rPr>
                <w:b/>
                <w:sz w:val="14"/>
              </w:rPr>
              <w:t>Alcance por objetivo:</w:t>
            </w:r>
            <w:r>
              <w:rPr>
                <w:sz w:val="14"/>
              </w:rPr>
              <w:t xml:space="preserve"> explica los productos (documentación o tangibles) y puede apoyarse en diagramas.</w:t>
            </w:r>
          </w:p>
        </w:tc>
        <w:tc>
          <w:tcPr>
            <w:tcW w:type="dxa" w:w="2551"/>
          </w:tcPr>
          <w:p>
            <w:pPr>
              <w:spacing w:after="20"/>
            </w:pPr>
            <w:r/>
            <w:r>
              <w:rPr>
                <w:b/>
                <w:sz w:val="14"/>
              </w:rPr>
              <w:t>Modelos:</w:t>
            </w:r>
          </w:p>
          <w:p>
            <w:pPr>
              <w:spacing w:after="20"/>
              <w:ind w:left="142" w:hanging="142"/>
            </w:pPr>
            <w:r>
              <w:rPr>
                <w:sz w:val="14"/>
              </w:rPr>
              <w:t>• Aether: "Definir criterios de comparación…", "Elaborar demostraciones funcionales…", "Procesar resultados…", "Generar recomendaciones con guías" — cada uno con Alcance.</w:t>
            </w:r>
          </w:p>
          <w:p>
            <w:pPr>
              <w:spacing w:after="20"/>
              <w:ind w:left="142" w:hanging="142"/>
            </w:pPr>
            <w:r>
              <w:rPr>
                <w:sz w:val="14"/>
              </w:rPr>
              <w:t>• GreenPath: "Diseñar e implementar extensiones…, un backend…, una base de datos…" con API REST, tablas y límites explícitos.</w:t>
            </w:r>
          </w:p>
        </w:tc>
        <w:tc>
          <w:tcPr>
            <w:tcW w:type="dxa" w:w="3175"/>
          </w:tcPr>
          <w:p>
            <w:pPr>
              <w:spacing w:after="20"/>
              <w:ind w:left="142" w:hanging="142"/>
            </w:pPr>
            <w:r/>
            <w:r>
              <w:rPr>
                <w:sz w:val="14"/>
              </w:rPr>
              <w:t>• Solvix: "Son actividades, no objetivos" (comparar, documentar procesos, diseñar demo).</w:t>
            </w:r>
          </w:p>
          <w:p>
            <w:pPr>
              <w:spacing w:after="20"/>
              <w:ind w:left="142" w:hanging="142"/>
            </w:pPr>
            <w:r>
              <w:rPr>
                <w:sz w:val="14"/>
              </w:rPr>
              <w:t>• Café: "No es un objetivo… no queda claro qué quieren lograr"; "Mal redactado: una cosa es implementar las métricas y otra implementar la visualización (dashboards)"; "Deben comparar dos eCommerce B2B, así que no hay diseño ni implementación".</w:t>
            </w:r>
          </w:p>
          <w:p>
            <w:pPr>
              <w:spacing w:after="20"/>
              <w:ind w:left="142" w:hanging="142"/>
            </w:pPr>
            <w:r>
              <w:rPr>
                <w:sz w:val="14"/>
              </w:rPr>
              <w:t>• SyncMinds: "Los recursos [no van]"; "La comparación es utilizando los requerimientos".</w:t>
            </w:r>
          </w:p>
          <w:p>
            <w:pPr>
              <w:spacing w:after="20"/>
              <w:ind w:left="142" w:hanging="142"/>
            </w:pPr>
            <w:r>
              <w:rPr>
                <w:sz w:val="14"/>
              </w:rPr>
              <w:t>• EcoFashion: "Faltan los objetivos de diseño de cada curso".</w:t>
            </w:r>
          </w:p>
        </w:tc>
        <w:tc>
          <w:tcPr>
            <w:tcW w:type="dxa" w:w="2835"/>
          </w:tcPr>
          <w:p>
            <w:pPr>
              <w:spacing w:after="20"/>
            </w:pPr>
            <w:r/>
            <w:r>
              <w:rPr>
                <w:sz w:val="14"/>
              </w:rPr>
              <w:t>4 objetivos con producto: matriz de evaluación (requisitos + criterios + pesos), modelo de integración (puente), demo del flujo completo (3 casos de uso), recomendación y guía de adopción.</w:t>
            </w:r>
          </w:p>
          <w:p>
            <w:pPr>
              <w:spacing w:after="20"/>
            </w:pPr>
            <w:r>
              <w:rPr>
                <w:sz w:val="14"/>
              </w:rPr>
              <w:t>Cuidar: "evaluar" no equivale a diseñar ni implementar; la configuración de la demo sí se puede llamar "configurar".</w:t>
            </w:r>
          </w:p>
        </w:tc>
        <w:tc>
          <w:tcPr>
            <w:tcW w:type="dxa" w:w="1304"/>
          </w:tcPr>
          <w:p>
            <w:pPr>
              <w:spacing w:after="20"/>
            </w:pPr>
            <w:r/>
            <w:r>
              <w:rPr>
                <w:sz w:val="14"/>
              </w:rPr>
              <w:t xml:space="preserve">Redactados con alcance (OE1–OE4). </w:t>
            </w:r>
            <w:r>
              <w:rPr>
                <w:sz w:val="14"/>
                <w:highlight w:val="yellow"/>
              </w:rPr>
              <w:t>[Validar verbos y que cada alcance liste productos]</w:t>
            </w:r>
            <w:r>
              <w:rPr>
                <w:sz w:val="14"/>
              </w:rPr>
              <w:t>.</w:t>
            </w:r>
          </w:p>
        </w:tc>
      </w:tr>
      <w:tr>
        <w:trPr>
          <w:cantSplit w:val="true"/>
        </w:trPr>
        <w:tc>
          <w:tcPr>
            <w:tcW w:type="dxa" w:w="1814"/>
            <w:shd w:val="clear" w:color="auto" w:fill="F7F0F2"/>
          </w:tcPr>
          <w:p>
            <w:pPr>
              <w:spacing w:after="20"/>
            </w:pPr>
            <w:r/>
            <w:r>
              <w:rPr>
                <w:b/>
                <w:sz w:val="14"/>
              </w:rPr>
              <w:t>3.2 Limitaciones</w:t>
            </w:r>
          </w:p>
        </w:tc>
        <w:tc>
          <w:tcPr>
            <w:tcW w:type="dxa" w:w="3231"/>
            <w:shd w:val="clear" w:color="auto" w:fill="F7F0F2"/>
          </w:tcPr>
          <w:p>
            <w:pPr>
              <w:spacing w:after="20"/>
              <w:ind w:left="142" w:hanging="142"/>
            </w:pPr>
            <w:r/>
            <w:r>
              <w:rPr>
                <w:sz w:val="14"/>
              </w:rPr>
              <w:t>• Fronteras del proyecto: plazo, recursos, entorno del SI (idiomas, motores, versiones, dónde se llevará a producción).</w:t>
            </w:r>
          </w:p>
          <w:p>
            <w:pPr>
              <w:spacing w:after="20"/>
              <w:ind w:left="142" w:hanging="142"/>
            </w:pPr>
            <w:r>
              <w:rPr>
                <w:sz w:val="14"/>
              </w:rPr>
              <w:t xml:space="preserve">• </w:t>
            </w:r>
            <w:r>
              <w:rPr>
                <w:b/>
                <w:sz w:val="14"/>
              </w:rPr>
              <w:t>No son riesgos.</w:t>
            </w:r>
            <w:r>
              <w:rPr>
                <w:sz w:val="14"/>
              </w:rPr>
              <w:t xml:space="preserve"> Los riesgos se evalúan en la factibilidad.</w:t>
            </w:r>
          </w:p>
        </w:tc>
        <w:tc>
          <w:tcPr>
            <w:tcW w:type="dxa" w:w="2551"/>
            <w:shd w:val="clear" w:color="auto" w:fill="F7F0F2"/>
          </w:tcPr>
          <w:p>
            <w:pPr>
              <w:spacing w:after="20"/>
            </w:pPr>
            <w:r/>
            <w:r>
              <w:rPr>
                <w:b/>
                <w:sz w:val="14"/>
              </w:rPr>
              <w:t>Modelo:</w:t>
            </w:r>
            <w:r>
              <w:rPr>
                <w:sz w:val="14"/>
              </w:rPr>
              <w:t xml:space="preserve"> GreenPath (versión exacta de Claroline y PostgreSQL, navegadores y versiones, español, 8 meses).</w:t>
            </w:r>
          </w:p>
        </w:tc>
        <w:tc>
          <w:tcPr>
            <w:tcW w:type="dxa" w:w="3175"/>
            <w:shd w:val="clear" w:color="auto" w:fill="F7F0F2"/>
          </w:tcPr>
          <w:p>
            <w:pPr>
              <w:spacing w:after="20"/>
              <w:ind w:left="142" w:hanging="142"/>
            </w:pPr>
            <w:r/>
            <w:r>
              <w:rPr>
                <w:sz w:val="14"/>
              </w:rPr>
              <w:t>• Café: "Eso es un riesgo, no una limitación".</w:t>
            </w:r>
          </w:p>
          <w:p>
            <w:pPr>
              <w:spacing w:after="20"/>
              <w:ind w:left="142" w:hanging="142"/>
            </w:pPr>
            <w:r>
              <w:rPr>
                <w:sz w:val="14"/>
              </w:rPr>
              <w:t>• Limitaciones demasiado genéricas.</w:t>
            </w:r>
          </w:p>
        </w:tc>
        <w:tc>
          <w:tcPr>
            <w:tcW w:type="dxa" w:w="2835"/>
            <w:shd w:val="clear" w:color="auto" w:fill="F7F0F2"/>
          </w:tcPr>
          <w:p>
            <w:pPr>
              <w:spacing w:after="20"/>
            </w:pPr>
            <w:r/>
            <w:r>
              <w:rPr>
                <w:sz w:val="14"/>
              </w:rPr>
              <w:t>Idioma español; solo apps comerciales con plan gratuito/prueba; sólo documentos civil/mercantil (no penal, no calle); 8 meses (05/10/2026–04/06/2027); piloto con estudiantes UCAB.</w:t>
            </w:r>
          </w:p>
          <w:p>
            <w:pPr>
              <w:spacing w:after="20"/>
            </w:pPr>
            <w:r>
              <w:rPr>
                <w:sz w:val="14"/>
              </w:rPr>
              <w:t>Anotar versión/plan de cada app una vez elegida.</w:t>
            </w:r>
          </w:p>
        </w:tc>
        <w:tc>
          <w:tcPr>
            <w:tcW w:type="dxa" w:w="1304"/>
            <w:shd w:val="clear" w:color="auto" w:fill="F7F0F2"/>
          </w:tcPr>
          <w:p>
            <w:pPr>
              <w:spacing w:after="20"/>
            </w:pPr>
            <w:r/>
            <w:r>
              <w:rPr>
                <w:sz w:val="14"/>
              </w:rPr>
              <w:t xml:space="preserve">Redactadas (5). </w:t>
            </w:r>
            <w:r>
              <w:rPr>
                <w:sz w:val="14"/>
                <w:highlight w:val="yellow"/>
              </w:rPr>
              <w:t>[Agregar versión/plan de la app elegida]</w:t>
            </w:r>
            <w:r>
              <w:rPr>
                <w:sz w:val="14"/>
              </w:rPr>
              <w:t>.</w:t>
            </w:r>
          </w:p>
        </w:tc>
      </w:tr>
      <w:tr>
        <w:trPr>
          <w:cantSplit w:val="true"/>
        </w:trPr>
        <w:tc>
          <w:tcPr>
            <w:tcW w:type="dxa" w:w="1814"/>
          </w:tcPr>
          <w:p>
            <w:pPr>
              <w:spacing w:after="20"/>
            </w:pPr>
            <w:r/>
            <w:r>
              <w:rPr>
                <w:b/>
                <w:sz w:val="14"/>
              </w:rPr>
              <w:t>4. Cuadro de factibilidad</w:t>
            </w:r>
          </w:p>
          <w:p>
            <w:pPr>
              <w:spacing w:after="20"/>
            </w:pPr>
            <w:r>
              <w:rPr>
                <w:b/>
                <w:sz w:val="14"/>
              </w:rPr>
              <w:t>0,5 pto</w:t>
            </w:r>
          </w:p>
        </w:tc>
        <w:tc>
          <w:tcPr>
            <w:tcW w:type="dxa" w:w="3231"/>
          </w:tcPr>
          <w:p>
            <w:pPr>
              <w:spacing w:after="20"/>
              <w:ind w:left="142" w:hanging="142"/>
            </w:pPr>
            <w:r/>
            <w:r>
              <w:rPr>
                <w:sz w:val="14"/>
              </w:rPr>
              <w:t xml:space="preserve">• Pesos fijos: operacional </w:t>
            </w:r>
            <w:r>
              <w:rPr>
                <w:b/>
                <w:sz w:val="14"/>
              </w:rPr>
              <w:t>40 %</w:t>
            </w:r>
            <w:r>
              <w:rPr>
                <w:sz w:val="14"/>
              </w:rPr>
              <w:t xml:space="preserve"> (funcional 20 + política 20); técnica </w:t>
            </w:r>
            <w:r>
              <w:rPr>
                <w:b/>
                <w:sz w:val="14"/>
              </w:rPr>
              <w:t>30 %</w:t>
            </w:r>
            <w:r>
              <w:rPr>
                <w:sz w:val="14"/>
              </w:rPr>
              <w:t xml:space="preserve"> (recursos TI 15 + RR.HH. especializados 15); económica: costo de desarrollo </w:t>
            </w:r>
            <w:r>
              <w:rPr>
                <w:b/>
                <w:sz w:val="14"/>
              </w:rPr>
              <w:t>20 %</w:t>
            </w:r>
            <w:r>
              <w:rPr>
                <w:sz w:val="14"/>
              </w:rPr>
              <w:t xml:space="preserve">, mantenimiento </w:t>
            </w:r>
            <w:r>
              <w:rPr>
                <w:b/>
                <w:sz w:val="14"/>
              </w:rPr>
              <w:t>10 %</w:t>
            </w:r>
            <w:r>
              <w:rPr>
                <w:sz w:val="14"/>
              </w:rPr>
              <w:t>.</w:t>
            </w:r>
          </w:p>
          <w:p>
            <w:pPr>
              <w:spacing w:after="20"/>
              <w:ind w:left="142" w:hanging="142"/>
            </w:pPr>
            <w:r>
              <w:rPr>
                <w:sz w:val="14"/>
              </w:rPr>
              <w:t xml:space="preserve">• Escala libre y corta (1–5). Éxito esperado </w:t>
            </w:r>
            <w:r>
              <w:rPr>
                <w:b/>
                <w:sz w:val="14"/>
              </w:rPr>
              <w:t>≥ 80 %</w:t>
            </w:r>
            <w:r>
              <w:rPr>
                <w:sz w:val="14"/>
              </w:rPr>
              <w:t>; si es menor, mitigar o renegociar.</w:t>
            </w:r>
          </w:p>
          <w:p>
            <w:pPr>
              <w:spacing w:after="20"/>
              <w:ind w:left="142" w:hanging="142"/>
            </w:pPr>
            <w:r>
              <w:rPr>
                <w:sz w:val="14"/>
              </w:rPr>
              <w:t>• Funcional = compatibilidad con otros SI y con el proceso real; Política = aceptación/rechazo y cómo mitigarlo; Recursos TI = existencia, adquisición, pertinencia, documentación y soporte del proveedor; RR.HH. = ¿hay personal capacitado o entrenable en tiempos razonables?; Desarrollo = costo vs presupuesto; Mantenimiento = costo anual para el cliente (vigencia ≥ 1 año).</w:t>
            </w:r>
          </w:p>
        </w:tc>
        <w:tc>
          <w:tcPr>
            <w:tcW w:type="dxa" w:w="2551"/>
          </w:tcPr>
          <w:p>
            <w:pPr>
              <w:spacing w:after="20"/>
            </w:pPr>
            <w:r/>
            <w:r>
              <w:rPr>
                <w:b/>
                <w:sz w:val="14"/>
              </w:rPr>
              <w:t>Modelos:</w:t>
            </w:r>
            <w:r>
              <w:rPr>
                <w:sz w:val="14"/>
              </w:rPr>
              <w:t xml:space="preserve"> Aether (cálculo "4 × 0,2 = 0,8", total 4,75/5 = 95 %) y GreenPath (recursos con versión, formación de 2 meses para el RR.HH., presupuesto disponible, total 81,5 %).</w:t>
            </w:r>
          </w:p>
        </w:tc>
        <w:tc>
          <w:tcPr>
            <w:tcW w:type="dxa" w:w="3175"/>
          </w:tcPr>
          <w:p>
            <w:pPr>
              <w:spacing w:after="20"/>
              <w:ind w:left="142" w:hanging="142"/>
            </w:pPr>
            <w:r/>
            <w:r>
              <w:rPr>
                <w:sz w:val="14"/>
              </w:rPr>
              <w:t>• Solvix: "Eso es operacional-política"; "Son ustedes quienes van a probar las IAs, no las empresas"; "Ustedes son los RR.HH. especializados"; "No fue bien analizada ni la factibilidad operacional ni la técnica".</w:t>
            </w:r>
          </w:p>
          <w:p>
            <w:pPr>
              <w:spacing w:after="20"/>
              <w:ind w:left="142" w:hanging="142"/>
            </w:pPr>
            <w:r>
              <w:rPr>
                <w:sz w:val="14"/>
              </w:rPr>
              <w:t>• Oral Café: justificar la factibilidad de TI diciendo que "son baratas y con buena documentación para los clientes".</w:t>
            </w:r>
          </w:p>
          <w:p>
            <w:pPr>
              <w:spacing w:after="20"/>
              <w:ind w:left="142" w:hanging="142"/>
            </w:pPr>
            <w:r>
              <w:rPr>
                <w:sz w:val="14"/>
              </w:rPr>
              <w:t>• GreenPath: "¿Ese presupuesto viene de?".</w:t>
            </w:r>
          </w:p>
          <w:p>
            <w:pPr>
              <w:spacing w:after="20"/>
              <w:ind w:left="142" w:hanging="142"/>
            </w:pPr>
            <w:r>
              <w:rPr>
                <w:sz w:val="14"/>
              </w:rPr>
              <w:t>• Valores sin cálculo o sin total.</w:t>
            </w:r>
          </w:p>
        </w:tc>
        <w:tc>
          <w:tcPr>
            <w:tcW w:type="dxa" w:w="2835"/>
          </w:tcPr>
          <w:p>
            <w:pPr>
              <w:spacing w:after="20"/>
              <w:ind w:left="142" w:hanging="142"/>
            </w:pPr>
            <w:r/>
            <w:r>
              <w:rPr>
                <w:sz w:val="14"/>
              </w:rPr>
              <w:t xml:space="preserve">• </w:t>
            </w:r>
            <w:r>
              <w:rPr>
                <w:b/>
                <w:sz w:val="14"/>
              </w:rPr>
              <w:t>RR.HH. especializados = nosotros tres</w:t>
            </w:r>
            <w:r>
              <w:rPr>
                <w:sz w:val="14"/>
              </w:rPr>
              <w:t>, valorados "en función de su experiencia real" (enunciado); si falta experiencia en IA jurídica, decirlo y mostrar horas de formación.</w:t>
            </w:r>
          </w:p>
          <w:p>
            <w:pPr>
              <w:spacing w:after="20"/>
              <w:ind w:left="142" w:hanging="142"/>
            </w:pPr>
            <w:r>
              <w:rPr>
                <w:sz w:val="14"/>
              </w:rPr>
              <w:t>• Costo de desarrollo: horas × tarifa CIV + suscripciones de prueba (Apéndice C).</w:t>
            </w:r>
          </w:p>
          <w:p>
            <w:pPr>
              <w:spacing w:after="20"/>
              <w:ind w:left="142" w:hanging="142"/>
            </w:pPr>
            <w:r>
              <w:rPr>
                <w:sz w:val="14"/>
              </w:rPr>
              <w:t>• Mantenimiento: licencias por usuario/año de las apps elegidas; es nuestro punto débil.</w:t>
            </w:r>
          </w:p>
          <w:p>
            <w:pPr>
              <w:spacing w:after="20"/>
              <w:ind w:left="142" w:hanging="142"/>
            </w:pPr>
            <w:r>
              <w:rPr>
                <w:sz w:val="14"/>
              </w:rPr>
              <w:t>• Decir de dónde sale el presupuesto.</w:t>
            </w:r>
          </w:p>
          <w:p>
            <w:pPr>
              <w:spacing w:after="20"/>
              <w:ind w:left="142" w:hanging="142"/>
            </w:pPr>
            <w:r>
              <w:rPr>
                <w:sz w:val="14"/>
              </w:rPr>
              <w:t xml:space="preserve">• Enlazar cada valor con la </w:t>
            </w:r>
            <w:r>
              <w:rPr>
                <w:b/>
                <w:sz w:val="14"/>
              </w:rPr>
              <w:t>oportunidad de negocio</w:t>
            </w:r>
            <w:r>
              <w:rPr>
                <w:sz w:val="14"/>
              </w:rPr>
              <w:t>, no sólo con el costo.</w:t>
            </w:r>
          </w:p>
        </w:tc>
        <w:tc>
          <w:tcPr>
            <w:tcW w:type="dxa" w:w="1304"/>
          </w:tcPr>
          <w:p>
            <w:pPr>
              <w:spacing w:after="20"/>
            </w:pPr>
            <w:r/>
            <w:r>
              <w:rPr>
                <w:sz w:val="14"/>
              </w:rPr>
              <w:t xml:space="preserve">Hecho: total 4.025/5 = 80.5 %. </w:t>
            </w:r>
            <w:r>
              <w:rPr>
                <w:sz w:val="14"/>
                <w:highlight w:val="yellow"/>
              </w:rPr>
              <w:t>[Recalcular con cotizaciones reales y mitigar si baja de 80 %]</w:t>
            </w:r>
            <w:r>
              <w:rPr>
                <w:sz w:val="14"/>
              </w:rPr>
              <w:t>.</w:t>
            </w:r>
          </w:p>
        </w:tc>
      </w:tr>
      <w:tr>
        <w:trPr>
          <w:cantSplit w:val="true"/>
        </w:trPr>
        <w:tc>
          <w:tcPr>
            <w:tcW w:type="dxa" w:w="1814"/>
            <w:shd w:val="clear" w:color="auto" w:fill="F7F0F2"/>
          </w:tcPr>
          <w:p>
            <w:pPr>
              <w:spacing w:after="20"/>
            </w:pPr>
            <w:r/>
            <w:r>
              <w:rPr>
                <w:b/>
                <w:sz w:val="14"/>
              </w:rPr>
              <w:t>5. Resumen del modelo y la metodología</w:t>
            </w:r>
          </w:p>
          <w:p>
            <w:pPr>
              <w:spacing w:after="20"/>
            </w:pPr>
            <w:r>
              <w:rPr>
                <w:sz w:val="14"/>
              </w:rPr>
              <w:t xml:space="preserve">Máx. 1 pág · </w:t>
            </w:r>
            <w:r>
              <w:rPr>
                <w:b/>
                <w:sz w:val="14"/>
              </w:rPr>
              <w:t>0,25 pto</w:t>
            </w:r>
          </w:p>
        </w:tc>
        <w:tc>
          <w:tcPr>
            <w:tcW w:type="dxa" w:w="3231"/>
            <w:shd w:val="clear" w:color="auto" w:fill="F7F0F2"/>
          </w:tcPr>
          <w:p>
            <w:pPr>
              <w:spacing w:after="20"/>
              <w:ind w:left="142" w:hanging="142"/>
            </w:pPr>
            <w:r/>
            <w:r>
              <w:rPr>
                <w:sz w:val="14"/>
              </w:rPr>
              <w:t xml:space="preserve">• Modelo(s) y/o metodología(s) de sustento del ciclo de vida, </w:t>
            </w:r>
            <w:r>
              <w:rPr>
                <w:b/>
                <w:sz w:val="14"/>
              </w:rPr>
              <w:t>con referencias</w:t>
            </w:r>
            <w:r>
              <w:rPr>
                <w:sz w:val="14"/>
              </w:rPr>
              <w:t xml:space="preserve"> y </w:t>
            </w:r>
            <w:r>
              <w:rPr>
                <w:b/>
                <w:sz w:val="14"/>
              </w:rPr>
              <w:t>justificados</w:t>
            </w:r>
            <w:r>
              <w:rPr>
                <w:sz w:val="14"/>
              </w:rPr>
              <w:t xml:space="preserve"> según la naturaleza del proyecto.</w:t>
            </w:r>
          </w:p>
          <w:p>
            <w:pPr>
              <w:spacing w:after="20"/>
              <w:ind w:left="142" w:hanging="142"/>
            </w:pPr>
            <w:r>
              <w:rPr>
                <w:sz w:val="14"/>
              </w:rPr>
              <w:t>• El modelo apoya el desarrollo; la metodología aporta actividades, roles, técnicas y estándares.</w:t>
            </w:r>
          </w:p>
          <w:p>
            <w:pPr>
              <w:spacing w:after="20"/>
              <w:ind w:left="142" w:hanging="142"/>
            </w:pPr>
            <w:r>
              <w:rPr>
                <w:sz w:val="14"/>
              </w:rPr>
              <w:t>• Describir las etapas lineales (Inicio, Análisis, Diseño) y las iteraciones.</w:t>
            </w:r>
          </w:p>
          <w:p>
            <w:pPr>
              <w:spacing w:after="20"/>
              <w:ind w:left="142" w:hanging="142"/>
            </w:pPr>
            <w:r>
              <w:rPr>
                <w:sz w:val="14"/>
              </w:rPr>
              <w:t xml:space="preserve">• Considerar el riesgo de rechazo y el trabajo con usuarios </w:t>
            </w:r>
            <w:r>
              <w:rPr>
                <w:b/>
                <w:sz w:val="14"/>
              </w:rPr>
              <w:t>antes</w:t>
            </w:r>
            <w:r>
              <w:rPr>
                <w:sz w:val="14"/>
              </w:rPr>
              <w:t xml:space="preserve"> de la Transición.</w:t>
            </w:r>
          </w:p>
        </w:tc>
        <w:tc>
          <w:tcPr>
            <w:tcW w:type="dxa" w:w="2551"/>
            <w:shd w:val="clear" w:color="auto" w:fill="F7F0F2"/>
          </w:tcPr>
          <w:p>
            <w:pPr>
              <w:spacing w:after="20"/>
            </w:pPr>
            <w:r/>
            <w:r>
              <w:rPr>
                <w:b/>
                <w:sz w:val="14"/>
              </w:rPr>
              <w:t>Modelo:</w:t>
            </w:r>
            <w:r>
              <w:rPr>
                <w:sz w:val="14"/>
              </w:rPr>
              <w:t xml:space="preserve"> Aether ("Cascada con subproyectos": tramo lineal Inicio → Análisis → Diseño Global, luego 2 subproyectos paralelos con 2 iteraciones, integración y transición; cita [24][25][26]).</w:t>
            </w:r>
          </w:p>
        </w:tc>
        <w:tc>
          <w:tcPr>
            <w:tcW w:type="dxa" w:w="3175"/>
            <w:shd w:val="clear" w:color="auto" w:fill="F7F0F2"/>
          </w:tcPr>
          <w:p>
            <w:pPr>
              <w:spacing w:after="20"/>
              <w:ind w:left="142" w:hanging="142"/>
            </w:pPr>
            <w:r/>
            <w:r>
              <w:rPr>
                <w:sz w:val="14"/>
              </w:rPr>
              <w:t>• Solvix: "Implementación", "¿Quién es el cliente?", "¿Plan de implementación y uso de la IA elegida?", "¿Actividades ajustadas al proyecto?".</w:t>
            </w:r>
          </w:p>
          <w:p>
            <w:pPr>
              <w:spacing w:after="20"/>
              <w:ind w:left="142" w:hanging="142"/>
            </w:pPr>
            <w:r>
              <w:rPr>
                <w:sz w:val="14"/>
              </w:rPr>
              <w:t>• SyncMinds: "¿Por qué dos transiciones?"; "El modelo metodológico apoya el desarrollo. ¿Cómo mitigarían el riesgo de rechazo?".</w:t>
            </w:r>
          </w:p>
          <w:p>
            <w:pPr>
              <w:spacing w:after="20"/>
              <w:ind w:left="142" w:hanging="142"/>
            </w:pPr>
            <w:r>
              <w:rPr>
                <w:sz w:val="14"/>
              </w:rPr>
              <w:t>• Café: "¿Qué módulos van a construir? ¿Cuándo implementan las métricas? ¿Cuándo trabajarían con los agricultores?… demasiado tarde pensar en capacitaciones y pruebas de interoperabilidad sólo en la Transición".</w:t>
            </w:r>
          </w:p>
          <w:p>
            <w:pPr>
              <w:spacing w:after="20"/>
              <w:ind w:left="142" w:hanging="142"/>
            </w:pPr>
            <w:r>
              <w:rPr>
                <w:sz w:val="14"/>
              </w:rPr>
              <w:t>• GreenPath: "Faltó describir las etapas lineales".</w:t>
            </w:r>
          </w:p>
          <w:p>
            <w:pPr>
              <w:spacing w:after="20"/>
              <w:ind w:left="142" w:hanging="142"/>
            </w:pPr>
            <w:r>
              <w:rPr>
                <w:sz w:val="14"/>
              </w:rPr>
              <w:t>• Oral: "el modelo metodológico estaba mal", "describiste a medias las iteraciones".</w:t>
            </w:r>
          </w:p>
        </w:tc>
        <w:tc>
          <w:tcPr>
            <w:tcW w:type="dxa" w:w="2835"/>
            <w:shd w:val="clear" w:color="auto" w:fill="F7F0F2"/>
          </w:tcPr>
          <w:p>
            <w:pPr>
              <w:spacing w:after="20"/>
            </w:pPr>
            <w:r/>
            <w:r>
              <w:rPr>
                <w:sz w:val="14"/>
              </w:rPr>
              <w:t>Cascada con subproyectos (2 componentes en paralelo por pareja) + integración + una Transición. Usuarios participan desde Análisis. Referenciar notas de clase [9] y un autor de modelos [8].</w:t>
            </w:r>
          </w:p>
        </w:tc>
        <w:tc>
          <w:tcPr>
            <w:tcW w:type="dxa" w:w="1304"/>
            <w:shd w:val="clear" w:color="auto" w:fill="F7F0F2"/>
          </w:tcPr>
          <w:p>
            <w:pPr>
              <w:spacing w:after="20"/>
            </w:pPr>
            <w:r/>
            <w:r>
              <w:rPr>
                <w:sz w:val="14"/>
              </w:rPr>
              <w:t xml:space="preserve">Redactado. </w:t>
            </w:r>
            <w:r>
              <w:rPr>
                <w:sz w:val="14"/>
                <w:highlight w:val="yellow"/>
              </w:rPr>
              <w:t>[Añadir 1–2 referencias de modelos/estándares y practicar la explicación oral]</w:t>
            </w:r>
            <w:r>
              <w:rPr>
                <w:sz w:val="14"/>
              </w:rPr>
              <w:t>.</w:t>
            </w:r>
          </w:p>
        </w:tc>
      </w:tr>
      <w:tr>
        <w:trPr>
          <w:cantSplit w:val="true"/>
        </w:trPr>
        <w:tc>
          <w:tcPr>
            <w:tcW w:type="dxa" w:w="1814"/>
          </w:tcPr>
          <w:p>
            <w:pPr>
              <w:spacing w:after="20"/>
            </w:pPr>
            <w:r/>
            <w:r>
              <w:rPr>
                <w:b/>
                <w:sz w:val="14"/>
              </w:rPr>
              <w:t>5.1 Esquema gráfico del CVDS</w:t>
            </w:r>
          </w:p>
          <w:p>
            <w:pPr>
              <w:spacing w:after="20"/>
            </w:pPr>
            <w:r>
              <w:rPr>
                <w:b/>
                <w:sz w:val="14"/>
              </w:rPr>
              <w:t>0,25 pto</w:t>
            </w:r>
          </w:p>
        </w:tc>
        <w:tc>
          <w:tcPr>
            <w:tcW w:type="dxa" w:w="3231"/>
          </w:tcPr>
          <w:p>
            <w:pPr>
              <w:spacing w:after="20"/>
              <w:ind w:left="142" w:hanging="142"/>
            </w:pPr>
            <w:r/>
            <w:r>
              <w:rPr>
                <w:sz w:val="14"/>
              </w:rPr>
              <w:t>• Esquema que refleje los modelos elegidos, con breve descripción de fases e iteraciones.</w:t>
            </w:r>
          </w:p>
          <w:p>
            <w:pPr>
              <w:spacing w:after="20"/>
              <w:ind w:left="142" w:hanging="142"/>
            </w:pPr>
            <w:r>
              <w:rPr>
                <w:sz w:val="14"/>
              </w:rPr>
              <w:t>• Debe coincidir con el Apéndice A (etapas, iteraciones, fechas).</w:t>
            </w:r>
          </w:p>
        </w:tc>
        <w:tc>
          <w:tcPr>
            <w:tcW w:type="dxa" w:w="2551"/>
          </w:tcPr>
          <w:p>
            <w:pPr>
              <w:spacing w:after="20"/>
            </w:pPr>
            <w:r/>
            <w:r>
              <w:rPr>
                <w:b/>
                <w:sz w:val="14"/>
              </w:rPr>
              <w:t>Modelo:</w:t>
            </w:r>
            <w:r>
              <w:rPr>
                <w:sz w:val="14"/>
              </w:rPr>
              <w:t xml:space="preserve"> Aether (Figura 1 con 2 subproyectos paralelos) y GreenPath (etapas y sprints).</w:t>
            </w:r>
          </w:p>
        </w:tc>
        <w:tc>
          <w:tcPr>
            <w:tcW w:type="dxa" w:w="3175"/>
          </w:tcPr>
          <w:p>
            <w:pPr>
              <w:spacing w:after="20"/>
              <w:ind w:left="142" w:hanging="142"/>
            </w:pPr>
            <w:r/>
            <w:r>
              <w:rPr>
                <w:sz w:val="14"/>
              </w:rPr>
              <w:t>• Gráfico sin descripción o inconsistente con el plan.</w:t>
            </w:r>
          </w:p>
        </w:tc>
        <w:tc>
          <w:tcPr>
            <w:tcW w:type="dxa" w:w="2835"/>
          </w:tcPr>
          <w:p>
            <w:pPr>
              <w:spacing w:after="20"/>
            </w:pPr>
            <w:r/>
            <w:r>
              <w:rPr>
                <w:sz w:val="14"/>
              </w:rPr>
              <w:t>Fig. 2 del borrador. Sincronizar nombres de etapas con la tabla del Apéndice A.</w:t>
            </w:r>
          </w:p>
        </w:tc>
        <w:tc>
          <w:tcPr>
            <w:tcW w:type="dxa" w:w="1304"/>
          </w:tcPr>
          <w:p>
            <w:pPr>
              <w:spacing w:after="20"/>
            </w:pPr>
            <w:r/>
            <w:r>
              <w:rPr>
                <w:sz w:val="14"/>
              </w:rPr>
              <w:t>Hecho (Fig. 2).</w:t>
            </w:r>
          </w:p>
        </w:tc>
      </w:tr>
      <w:tr>
        <w:trPr>
          <w:cantSplit w:val="true"/>
        </w:trPr>
        <w:tc>
          <w:tcPr>
            <w:tcW w:type="dxa" w:w="1814"/>
            <w:shd w:val="clear" w:color="auto" w:fill="F7F0F2"/>
          </w:tcPr>
          <w:p>
            <w:pPr>
              <w:spacing w:after="20"/>
            </w:pPr>
            <w:r/>
            <w:r>
              <w:rPr>
                <w:b/>
                <w:sz w:val="14"/>
              </w:rPr>
              <w:t>Bibliografía y citas</w:t>
            </w:r>
          </w:p>
          <w:p>
            <w:pPr>
              <w:spacing w:after="20"/>
            </w:pPr>
            <w:r>
              <w:rPr>
                <w:sz w:val="14"/>
              </w:rPr>
              <w:t>(sin puntaje propio; su ausencia hundió a Solvix)</w:t>
            </w:r>
          </w:p>
        </w:tc>
        <w:tc>
          <w:tcPr>
            <w:tcW w:type="dxa" w:w="3231"/>
            <w:shd w:val="clear" w:color="auto" w:fill="F7F0F2"/>
          </w:tcPr>
          <w:p>
            <w:pPr>
              <w:spacing w:after="20"/>
              <w:ind w:left="142" w:hanging="142"/>
            </w:pPr>
            <w:r/>
            <w:r>
              <w:rPr>
                <w:sz w:val="14"/>
              </w:rPr>
              <w:t xml:space="preserve">• Referencias en </w:t>
            </w:r>
            <w:r>
              <w:rPr>
                <w:b/>
                <w:sz w:val="14"/>
              </w:rPr>
              <w:t>APA 7</w:t>
            </w:r>
            <w:r>
              <w:rPr>
                <w:sz w:val="14"/>
              </w:rPr>
              <w:t xml:space="preserve"> (guía en el material de referencia); cada dato, herramienta y modelo con [n].</w:t>
            </w:r>
          </w:p>
          <w:p>
            <w:pPr>
              <w:spacing w:after="20"/>
              <w:ind w:left="142" w:hanging="142"/>
            </w:pPr>
            <w:r>
              <w:rPr>
                <w:sz w:val="14"/>
              </w:rPr>
              <w:t>• Referencias del curso: módulos M7, artículos y material compartidos, el enunciado y las notas de clase.</w:t>
            </w:r>
          </w:p>
        </w:tc>
        <w:tc>
          <w:tcPr>
            <w:tcW w:type="dxa" w:w="2551"/>
            <w:shd w:val="clear" w:color="auto" w:fill="F7F0F2"/>
          </w:tcPr>
          <w:p>
            <w:pPr>
              <w:spacing w:after="20"/>
            </w:pPr>
            <w:r/>
            <w:r>
              <w:rPr>
                <w:b/>
                <w:sz w:val="14"/>
              </w:rPr>
              <w:t>Modelo:</w:t>
            </w:r>
            <w:r>
              <w:rPr>
                <w:sz w:val="14"/>
              </w:rPr>
              <w:t xml:space="preserve"> Aether (más de 25 referencias numeradas con DOI/URL; herramientas con su sitio oficial).</w:t>
            </w:r>
          </w:p>
        </w:tc>
        <w:tc>
          <w:tcPr>
            <w:tcW w:type="dxa" w:w="3175"/>
            <w:shd w:val="clear" w:color="auto" w:fill="F7F0F2"/>
          </w:tcPr>
          <w:p>
            <w:pPr>
              <w:spacing w:after="20"/>
              <w:ind w:left="142" w:hanging="142"/>
            </w:pPr>
            <w:r/>
            <w:r>
              <w:rPr>
                <w:sz w:val="14"/>
              </w:rPr>
              <w:t>• "No tienen referencias… ni de las IAs elegidas" (Solvix).</w:t>
            </w:r>
          </w:p>
          <w:p>
            <w:pPr>
              <w:spacing w:after="20"/>
              <w:ind w:left="142" w:hanging="142"/>
            </w:pPr>
            <w:r>
              <w:rPr>
                <w:sz w:val="14"/>
              </w:rPr>
              <w:t>• "Referencia de contacto de esos clientes" (SyncMinds).</w:t>
            </w:r>
          </w:p>
          <w:p>
            <w:pPr>
              <w:spacing w:after="20"/>
              <w:ind w:left="142" w:hanging="142"/>
            </w:pPr>
            <w:r>
              <w:rPr>
                <w:sz w:val="14"/>
              </w:rPr>
              <w:t>• "Es un proceso de negocio – no se referencia ningún recurso" (Café).</w:t>
            </w:r>
          </w:p>
          <w:p>
            <w:pPr>
              <w:spacing w:after="20"/>
              <w:ind w:left="142" w:hanging="142"/>
            </w:pPr>
            <w:r>
              <w:rPr>
                <w:sz w:val="14"/>
              </w:rPr>
              <w:t>• "Bibliografía" mal escrita o ausente del contenido.</w:t>
            </w:r>
          </w:p>
        </w:tc>
        <w:tc>
          <w:tcPr>
            <w:tcW w:type="dxa" w:w="2835"/>
            <w:shd w:val="clear" w:color="auto" w:fill="F7F0F2"/>
          </w:tcPr>
          <w:p>
            <w:pPr>
              <w:spacing w:after="20"/>
            </w:pPr>
            <w:r/>
            <w:r>
              <w:rPr>
                <w:sz w:val="14"/>
              </w:rPr>
              <w:t>Citar: enunciado Legal Tech (la profesora lo permite), sitio oficial de cada app, tabulador CIV, pensum UCAB, ley de servicio comunitario, informes de adopción de IA legal, notas de clase.</w:t>
            </w:r>
          </w:p>
        </w:tc>
        <w:tc>
          <w:tcPr>
            <w:tcW w:type="dxa" w:w="1304"/>
            <w:shd w:val="clear" w:color="auto" w:fill="F7F0F2"/>
          </w:tcPr>
          <w:p>
            <w:pPr>
              <w:spacing w:after="20"/>
            </w:pPr>
            <w:r/>
            <w:r>
              <w:rPr>
                <w:sz w:val="14"/>
              </w:rPr>
              <w:t xml:space="preserve">Lista inicial de 9; </w:t>
            </w:r>
            <w:r>
              <w:rPr>
                <w:sz w:val="14"/>
                <w:highlight w:val="yellow"/>
              </w:rPr>
              <w:t>[verificar cada enlace y formato APA]</w:t>
            </w:r>
            <w:r>
              <w:rPr>
                <w:sz w:val="14"/>
              </w:rPr>
              <w:t>.</w:t>
            </w:r>
          </w:p>
        </w:tc>
      </w:tr>
      <w:tr>
        <w:trPr>
          <w:cantSplit w:val="true"/>
        </w:trPr>
        <w:tc>
          <w:tcPr>
            <w:tcW w:type="dxa" w:w="1814"/>
          </w:tcPr>
          <w:p>
            <w:pPr>
              <w:spacing w:after="20"/>
            </w:pPr>
            <w:r/>
            <w:r>
              <w:rPr>
                <w:b/>
                <w:sz w:val="14"/>
              </w:rPr>
              <w:t>Apéndice A. Planificación general</w:t>
            </w:r>
          </w:p>
          <w:p>
            <w:pPr>
              <w:spacing w:after="20"/>
            </w:pPr>
            <w:r>
              <w:rPr>
                <w:b/>
                <w:sz w:val="14"/>
              </w:rPr>
              <w:t>0,25 pto</w:t>
            </w:r>
          </w:p>
        </w:tc>
        <w:tc>
          <w:tcPr>
            <w:tcW w:type="dxa" w:w="3231"/>
          </w:tcPr>
          <w:p>
            <w:pPr>
              <w:spacing w:after="20"/>
              <w:ind w:left="142" w:hanging="142"/>
            </w:pPr>
            <w:r/>
            <w:r>
              <w:rPr>
                <w:sz w:val="14"/>
              </w:rPr>
              <w:t>• Gantt u otro diagrama.</w:t>
            </w:r>
          </w:p>
          <w:p>
            <w:pPr>
              <w:spacing w:after="20"/>
              <w:ind w:left="142" w:hanging="142"/>
            </w:pPr>
            <w:r>
              <w:rPr>
                <w:sz w:val="14"/>
              </w:rPr>
              <w:t xml:space="preserve">• Por cada etapa y/o iteración: </w:t>
            </w:r>
            <w:r>
              <w:rPr>
                <w:b/>
                <w:sz w:val="14"/>
              </w:rPr>
              <w:t>fecha de inicio, fecha de fin, horas totales y roles involucrados</w:t>
            </w:r>
            <w:r>
              <w:rPr>
                <w:sz w:val="14"/>
              </w:rPr>
              <w:t>.</w:t>
            </w:r>
          </w:p>
          <w:p>
            <w:pPr>
              <w:spacing w:after="20"/>
              <w:ind w:left="142" w:hanging="142"/>
            </w:pPr>
            <w:r>
              <w:rPr>
                <w:sz w:val="14"/>
              </w:rPr>
              <w:t>• Roles, no personas.</w:t>
            </w:r>
          </w:p>
        </w:tc>
        <w:tc>
          <w:tcPr>
            <w:tcW w:type="dxa" w:w="2551"/>
          </w:tcPr>
          <w:p>
            <w:pPr>
              <w:spacing w:after="20"/>
            </w:pPr>
            <w:r/>
            <w:r>
              <w:rPr>
                <w:b/>
                <w:sz w:val="14"/>
              </w:rPr>
              <w:t>Modelo:</w:t>
            </w:r>
            <w:r>
              <w:rPr>
                <w:sz w:val="14"/>
              </w:rPr>
              <w:t xml:space="preserve"> Aether (tabla de 7 filas con etapa, iteración, fechas, horas y roles).</w:t>
            </w:r>
          </w:p>
        </w:tc>
        <w:tc>
          <w:tcPr>
            <w:tcW w:type="dxa" w:w="3175"/>
          </w:tcPr>
          <w:p>
            <w:pPr>
              <w:spacing w:after="20"/>
              <w:ind w:left="142" w:hanging="142"/>
            </w:pPr>
            <w:r/>
            <w:r>
              <w:rPr>
                <w:sz w:val="14"/>
              </w:rPr>
              <w:t>• "Las barras no muestran las diferencias de horas" (Aether).</w:t>
            </w:r>
          </w:p>
          <w:p>
            <w:pPr>
              <w:spacing w:after="20"/>
              <w:ind w:left="142" w:hanging="142"/>
            </w:pPr>
            <w:r>
              <w:rPr>
                <w:sz w:val="14"/>
              </w:rPr>
              <w:t>• "Horas totales y deben usar un diagrama de tiempo" (EcoFashion).</w:t>
            </w:r>
          </w:p>
          <w:p>
            <w:pPr>
              <w:spacing w:after="20"/>
              <w:ind w:left="142" w:hanging="142"/>
            </w:pPr>
            <w:r>
              <w:rPr>
                <w:sz w:val="14"/>
              </w:rPr>
              <w:t>• "Roles no personas – ojo" (Café).</w:t>
            </w:r>
          </w:p>
          <w:p>
            <w:pPr>
              <w:spacing w:after="20"/>
              <w:ind w:left="142" w:hanging="142"/>
            </w:pPr>
            <w:r>
              <w:rPr>
                <w:sz w:val="14"/>
              </w:rPr>
              <w:t>• Fechas que no coinciden con el resto del documento.</w:t>
            </w:r>
          </w:p>
        </w:tc>
        <w:tc>
          <w:tcPr>
            <w:tcW w:type="dxa" w:w="2835"/>
          </w:tcPr>
          <w:p>
            <w:pPr>
              <w:spacing w:after="20"/>
            </w:pPr>
            <w:r/>
            <w:r>
              <w:rPr>
                <w:sz w:val="14"/>
              </w:rPr>
              <w:t>8 meses desde el 05/10/2026 con hitos reales: SRS 26/11, defensa 17/12. 718 h repartidas entre los 3 roles. Barras con etiqueta de horas e intensidad proporcional.</w:t>
            </w:r>
          </w:p>
        </w:tc>
        <w:tc>
          <w:tcPr>
            <w:tcW w:type="dxa" w:w="1304"/>
          </w:tcPr>
          <w:p>
            <w:pPr>
              <w:spacing w:after="20"/>
            </w:pPr>
            <w:r/>
            <w:r>
              <w:rPr>
                <w:sz w:val="14"/>
              </w:rPr>
              <w:t xml:space="preserve">Hecho (tabla + Gantt). </w:t>
            </w:r>
            <w:r>
              <w:rPr>
                <w:sz w:val="14"/>
                <w:highlight w:val="yellow"/>
              </w:rPr>
              <w:t>[Confirmar vacaciones y fecha de cierre]</w:t>
            </w:r>
            <w:r>
              <w:rPr>
                <w:sz w:val="14"/>
              </w:rPr>
              <w:t>.</w:t>
            </w:r>
          </w:p>
        </w:tc>
      </w:tr>
      <w:tr>
        <w:trPr>
          <w:cantSplit w:val="true"/>
        </w:trPr>
        <w:tc>
          <w:tcPr>
            <w:tcW w:type="dxa" w:w="1814"/>
            <w:shd w:val="clear" w:color="auto" w:fill="F7F0F2"/>
          </w:tcPr>
          <w:p>
            <w:pPr>
              <w:spacing w:after="20"/>
            </w:pPr>
            <w:r/>
            <w:r>
              <w:rPr>
                <w:b/>
                <w:sz w:val="14"/>
              </w:rPr>
              <w:t>Apéndice B. Planificación detallada de Inicio</w:t>
            </w:r>
          </w:p>
          <w:p>
            <w:pPr>
              <w:spacing w:after="20"/>
            </w:pPr>
            <w:r>
              <w:rPr>
                <w:b/>
                <w:sz w:val="14"/>
              </w:rPr>
              <w:t>0,25 pto</w:t>
            </w:r>
          </w:p>
        </w:tc>
        <w:tc>
          <w:tcPr>
            <w:tcW w:type="dxa" w:w="3231"/>
            <w:shd w:val="clear" w:color="auto" w:fill="F7F0F2"/>
          </w:tcPr>
          <w:p>
            <w:pPr>
              <w:spacing w:after="20"/>
              <w:ind w:left="142" w:hanging="142"/>
            </w:pPr>
            <w:r/>
            <w:r>
              <w:rPr>
                <w:sz w:val="14"/>
              </w:rPr>
              <w:t xml:space="preserve">• Actividades y horas totales de cada una, </w:t>
            </w:r>
            <w:r>
              <w:rPr>
                <w:b/>
                <w:sz w:val="14"/>
              </w:rPr>
              <w:t>respetando las fechas y actividades realizadas realmente</w:t>
            </w:r>
            <w:r>
              <w:rPr>
                <w:sz w:val="14"/>
              </w:rPr>
              <w:t>.</w:t>
            </w:r>
          </w:p>
          <w:p>
            <w:pPr>
              <w:spacing w:after="20"/>
              <w:ind w:left="142" w:hanging="142"/>
            </w:pPr>
            <w:r>
              <w:rPr>
                <w:sz w:val="14"/>
              </w:rPr>
              <w:t>• Debe aparecer el entregable.</w:t>
            </w:r>
          </w:p>
        </w:tc>
        <w:tc>
          <w:tcPr>
            <w:tcW w:type="dxa" w:w="2551"/>
            <w:shd w:val="clear" w:color="auto" w:fill="F7F0F2"/>
          </w:tcPr>
          <w:p>
            <w:pPr>
              <w:spacing w:after="20"/>
            </w:pPr>
            <w:r/>
            <w:r>
              <w:rPr>
                <w:b/>
                <w:sz w:val="14"/>
              </w:rPr>
              <w:t>Modelo:</w:t>
            </w:r>
            <w:r>
              <w:rPr>
                <w:sz w:val="14"/>
              </w:rPr>
              <w:t xml:space="preserve"> Aether (8 actividades con fecha y horas: definir mercado → oportunidades → soluciones → factibilidad → marco → plan → entrega → feedback).</w:t>
            </w:r>
          </w:p>
        </w:tc>
        <w:tc>
          <w:tcPr>
            <w:tcW w:type="dxa" w:w="3175"/>
            <w:shd w:val="clear" w:color="auto" w:fill="F7F0F2"/>
          </w:tcPr>
          <w:p>
            <w:pPr>
              <w:spacing w:after="20"/>
              <w:ind w:left="142" w:hanging="142"/>
            </w:pPr>
            <w:r/>
            <w:r>
              <w:rPr>
                <w:sz w:val="14"/>
              </w:rPr>
              <w:t>• EcoFashion: "No cuadran las fechas y no colocaron el entregable".</w:t>
            </w:r>
          </w:p>
        </w:tc>
        <w:tc>
          <w:tcPr>
            <w:tcW w:type="dxa" w:w="2835"/>
            <w:shd w:val="clear" w:color="auto" w:fill="F7F0F2"/>
          </w:tcPr>
          <w:p>
            <w:pPr>
              <w:spacing w:after="20"/>
            </w:pPr>
            <w:r/>
            <w:r>
              <w:rPr>
                <w:sz w:val="14"/>
              </w:rPr>
              <w:t>Usar la línea de tiempo real: 05/10 inicio, 15/10 consulta con la profesora, 16/10 entrevista, 22/10 consulta de apps, 29/10 entrega. Reflejar que el documento debió empezar antes de las entrevistas (aclaración de la profesora).</w:t>
            </w:r>
          </w:p>
        </w:tc>
        <w:tc>
          <w:tcPr>
            <w:tcW w:type="dxa" w:w="1304"/>
            <w:shd w:val="clear" w:color="auto" w:fill="F7F0F2"/>
          </w:tcPr>
          <w:p>
            <w:pPr>
              <w:spacing w:after="20"/>
            </w:pPr>
            <w:r/>
            <w:r>
              <w:rPr>
                <w:sz w:val="14"/>
              </w:rPr>
              <w:t xml:space="preserve">Hecho con 9 actividades; </w:t>
            </w:r>
            <w:r>
              <w:rPr>
                <w:sz w:val="14"/>
                <w:highlight w:val="yellow"/>
              </w:rPr>
              <w:t>[ajustar fechas y horas a lo realmente trabajado]</w:t>
            </w:r>
            <w:r>
              <w:rPr>
                <w:sz w:val="14"/>
              </w:rPr>
              <w:t>.</w:t>
            </w:r>
          </w:p>
        </w:tc>
      </w:tr>
      <w:tr>
        <w:trPr>
          <w:cantSplit w:val="true"/>
        </w:trPr>
        <w:tc>
          <w:tcPr>
            <w:tcW w:type="dxa" w:w="1814"/>
          </w:tcPr>
          <w:p>
            <w:pPr>
              <w:spacing w:after="20"/>
            </w:pPr>
            <w:r/>
            <w:r>
              <w:rPr>
                <w:b/>
                <w:sz w:val="14"/>
              </w:rPr>
              <w:t>Apéndice C. Desglose del costo total de la Fase de Desarrollo</w:t>
            </w:r>
          </w:p>
          <w:p>
            <w:pPr>
              <w:spacing w:after="20"/>
            </w:pPr>
            <w:r>
              <w:rPr>
                <w:b/>
                <w:sz w:val="14"/>
              </w:rPr>
              <w:t>0,25 pto</w:t>
            </w:r>
          </w:p>
        </w:tc>
        <w:tc>
          <w:tcPr>
            <w:tcW w:type="dxa" w:w="3231"/>
          </w:tcPr>
          <w:p>
            <w:pPr>
              <w:spacing w:after="20"/>
              <w:ind w:left="142" w:hanging="142"/>
            </w:pPr>
            <w:r/>
            <w:r>
              <w:rPr>
                <w:sz w:val="14"/>
              </w:rPr>
              <w:t xml:space="preserve">• Costo por rol: integrantes, horas, </w:t>
            </w:r>
            <w:r>
              <w:rPr>
                <w:b/>
                <w:sz w:val="14"/>
              </w:rPr>
              <w:t>costo por hora (tabulador CIV)</w:t>
            </w:r>
            <w:r>
              <w:rPr>
                <w:sz w:val="14"/>
              </w:rPr>
              <w:t>, costo total.</w:t>
            </w:r>
          </w:p>
          <w:p>
            <w:pPr>
              <w:spacing w:after="20"/>
              <w:ind w:left="142" w:hanging="142"/>
            </w:pPr>
            <w:r>
              <w:rPr>
                <w:sz w:val="14"/>
              </w:rPr>
              <w:t>• Incluir licencias/servicios si aplican; indicar de dónde sale el presupuesto.</w:t>
            </w:r>
          </w:p>
          <w:p>
            <w:pPr>
              <w:spacing w:after="20"/>
              <w:ind w:left="142" w:hanging="142"/>
            </w:pPr>
            <w:r>
              <w:rPr>
                <w:sz w:val="14"/>
              </w:rPr>
              <w:t>• Estimar también el mantenimiento anual (se usa en factibilidad).</w:t>
            </w:r>
          </w:p>
        </w:tc>
        <w:tc>
          <w:tcPr>
            <w:tcW w:type="dxa" w:w="2551"/>
          </w:tcPr>
          <w:p>
            <w:pPr>
              <w:spacing w:after="20"/>
            </w:pPr>
            <w:r/>
            <w:r>
              <w:rPr>
                <w:b/>
                <w:sz w:val="14"/>
              </w:rPr>
              <w:t>Modelos:</w:t>
            </w:r>
            <w:r>
              <w:rPr>
                <w:sz w:val="14"/>
              </w:rPr>
              <w:t xml:space="preserve"> SyncMinds (rol, cantidad, horas, costo por hora, total; tarifas "tomando como base el tabulador de honorarios mínimos del CIV [14]") y Aether (tabla de planes y precios de cada herramienta).</w:t>
            </w:r>
          </w:p>
        </w:tc>
        <w:tc>
          <w:tcPr>
            <w:tcW w:type="dxa" w:w="3175"/>
          </w:tcPr>
          <w:p>
            <w:pPr>
              <w:spacing w:after="20"/>
              <w:ind w:left="142" w:hanging="142"/>
            </w:pPr>
            <w:r/>
            <w:r>
              <w:rPr>
                <w:sz w:val="14"/>
              </w:rPr>
              <w:t>• "Ese presupuesto viene de…?" (GreenPath).</w:t>
            </w:r>
          </w:p>
          <w:p>
            <w:pPr>
              <w:spacing w:after="20"/>
              <w:ind w:left="142" w:hanging="142"/>
            </w:pPr>
            <w:r>
              <w:rPr>
                <w:sz w:val="14"/>
              </w:rPr>
              <w:t>• Costos sin fuente de la tarifa.</w:t>
            </w:r>
          </w:p>
        </w:tc>
        <w:tc>
          <w:tcPr>
            <w:tcW w:type="dxa" w:w="2835"/>
          </w:tcPr>
          <w:p>
            <w:pPr>
              <w:spacing w:after="20"/>
            </w:pPr>
            <w:r/>
            <w:r>
              <w:rPr>
                <w:sz w:val="14"/>
              </w:rPr>
              <w:t>Horas × tarifa por rol + suscripciones de prueba de las 4 candidatas = $3,671.50; mantenimiento por usuario/año entre ≈$1.308 y ≈$2.073.</w:t>
            </w:r>
          </w:p>
          <w:p>
            <w:pPr>
              <w:spacing w:after="20"/>
            </w:pPr>
            <w:r>
              <w:rPr>
                <w:b/>
                <w:sz w:val="14"/>
              </w:rPr>
              <w:t>Tarifas provisionales</w:t>
            </w:r>
            <w:r>
              <w:rPr>
                <w:sz w:val="14"/>
              </w:rPr>
              <w:t xml:space="preserve"> ($4 / $5 / $2,50) tomadas como referencia del documento SyncMinds: sustituir por el tabulador CIV vigente.</w:t>
            </w:r>
          </w:p>
        </w:tc>
        <w:tc>
          <w:tcPr>
            <w:tcW w:type="dxa" w:w="1304"/>
          </w:tcPr>
          <w:p>
            <w:pPr>
              <w:spacing w:after="20"/>
            </w:pPr>
            <w:r/>
            <w:r>
              <w:rPr>
                <w:sz w:val="14"/>
              </w:rPr>
              <w:t xml:space="preserve">Hecho. </w:t>
            </w:r>
            <w:r>
              <w:rPr>
                <w:sz w:val="14"/>
                <w:highlight w:val="yellow"/>
              </w:rPr>
              <w:t>[Cambiar tarifas y cotizar apps]</w:t>
            </w:r>
            <w:r>
              <w:rPr>
                <w:sz w:val="14"/>
              </w:rPr>
              <w:t>. Ver detalle en §5.</w:t>
            </w:r>
          </w:p>
        </w:tc>
      </w:tr>
      <w:tr>
        <w:trPr>
          <w:cantSplit w:val="true"/>
        </w:trPr>
        <w:tc>
          <w:tcPr>
            <w:tcW w:type="dxa" w:w="1814"/>
            <w:shd w:val="clear" w:color="auto" w:fill="F7F0F2"/>
          </w:tcPr>
          <w:p>
            <w:pPr>
              <w:spacing w:after="20"/>
            </w:pPr>
            <w:r/>
            <w:r>
              <w:rPr>
                <w:b/>
                <w:sz w:val="14"/>
              </w:rPr>
              <w:t>Apéndice D. Documentación de procesos de negocio a apoyar</w:t>
            </w:r>
          </w:p>
          <w:p>
            <w:pPr>
              <w:spacing w:after="20"/>
            </w:pPr>
            <w:r>
              <w:rPr>
                <w:b/>
                <w:sz w:val="14"/>
              </w:rPr>
              <w:t>0,5 pto</w:t>
            </w:r>
          </w:p>
        </w:tc>
        <w:tc>
          <w:tcPr>
            <w:tcW w:type="dxa" w:w="3231"/>
            <w:shd w:val="clear" w:color="auto" w:fill="F7F0F2"/>
          </w:tcPr>
          <w:p>
            <w:pPr>
              <w:spacing w:after="20"/>
              <w:ind w:left="142" w:hanging="142"/>
            </w:pPr>
            <w:r/>
            <w:r>
              <w:rPr>
                <w:sz w:val="14"/>
              </w:rPr>
              <w:t xml:space="preserve">• Proceso </w:t>
            </w:r>
            <w:r>
              <w:rPr>
                <w:b/>
                <w:sz w:val="14"/>
              </w:rPr>
              <w:t>tal como se hace</w:t>
            </w:r>
            <w:r>
              <w:rPr>
                <w:sz w:val="14"/>
              </w:rPr>
              <w:t xml:space="preserve"> (no el ideal), por mercado, con actividades, entradas, salidas y actores.</w:t>
            </w:r>
          </w:p>
          <w:p>
            <w:pPr>
              <w:spacing w:after="20"/>
              <w:ind w:left="142" w:hanging="142"/>
            </w:pPr>
            <w:r>
              <w:rPr>
                <w:sz w:val="14"/>
              </w:rPr>
              <w:t xml:space="preserve">• Indicar </w:t>
            </w:r>
            <w:r>
              <w:rPr>
                <w:b/>
                <w:sz w:val="14"/>
              </w:rPr>
              <w:t>qué tipo de proceso</w:t>
            </w:r>
            <w:r>
              <w:rPr>
                <w:sz w:val="14"/>
              </w:rPr>
              <w:t xml:space="preserve"> es (primario, de apoyo, estratégico) —se pregunta en el oral—.</w:t>
            </w:r>
          </w:p>
          <w:p>
            <w:pPr>
              <w:spacing w:after="20"/>
              <w:ind w:left="142" w:hanging="142"/>
            </w:pPr>
            <w:r>
              <w:rPr>
                <w:sz w:val="14"/>
              </w:rPr>
              <w:t xml:space="preserve">• Consistente con la Declaración y la Solución; con recursos de TI </w:t>
            </w:r>
            <w:r>
              <w:rPr>
                <w:b/>
                <w:sz w:val="14"/>
              </w:rPr>
              <w:t>referenciados</w:t>
            </w:r>
            <w:r>
              <w:rPr>
                <w:sz w:val="14"/>
              </w:rPr>
              <w:t>.</w:t>
            </w:r>
          </w:p>
          <w:p>
            <w:pPr>
              <w:spacing w:after="20"/>
              <w:ind w:left="142" w:hanging="142"/>
            </w:pPr>
            <w:r>
              <w:rPr>
                <w:sz w:val="14"/>
              </w:rPr>
              <w:t>• Diagrama legible de izquierda a derecha.</w:t>
            </w:r>
          </w:p>
        </w:tc>
        <w:tc>
          <w:tcPr>
            <w:tcW w:type="dxa" w:w="2551"/>
            <w:shd w:val="clear" w:color="auto" w:fill="F7F0F2"/>
          </w:tcPr>
          <w:p>
            <w:pPr>
              <w:spacing w:after="20"/>
            </w:pPr>
            <w:r/>
            <w:r>
              <w:rPr>
                <w:b/>
                <w:sz w:val="14"/>
              </w:rPr>
              <w:t>Modelo:</w:t>
            </w:r>
            <w:r>
              <w:rPr>
                <w:sz w:val="14"/>
              </w:rPr>
              <w:t xml:space="preserve"> SyncMinds (proceso de venta "Order-to-Cash") y Aether (documentación de actividades por mercado).</w:t>
            </w:r>
          </w:p>
        </w:tc>
        <w:tc>
          <w:tcPr>
            <w:tcW w:type="dxa" w:w="3175"/>
            <w:shd w:val="clear" w:color="auto" w:fill="F7F0F2"/>
          </w:tcPr>
          <w:p>
            <w:pPr>
              <w:spacing w:after="20"/>
              <w:ind w:left="142" w:hanging="142"/>
            </w:pPr>
            <w:r/>
            <w:r>
              <w:rPr>
                <w:sz w:val="14"/>
              </w:rPr>
              <w:t>• "¿Así es como lo hacen los agricultores o es el proceso ideal?" (SyncMinds).</w:t>
            </w:r>
          </w:p>
          <w:p>
            <w:pPr>
              <w:spacing w:after="20"/>
              <w:ind w:left="142" w:hanging="142"/>
            </w:pPr>
            <w:r>
              <w:rPr>
                <w:sz w:val="14"/>
              </w:rPr>
              <w:t>• "Describir el proceso de negocio. No se referencian recursos de TI" (Café).</w:t>
            </w:r>
          </w:p>
          <w:p>
            <w:pPr>
              <w:spacing w:after="20"/>
              <w:ind w:left="142" w:hanging="142"/>
            </w:pPr>
            <w:r>
              <w:rPr>
                <w:sz w:val="14"/>
              </w:rPr>
              <w:t>• "Este paso debe ser el último del lado derecho" (Aether).</w:t>
            </w:r>
          </w:p>
          <w:p>
            <w:pPr>
              <w:spacing w:after="20"/>
              <w:ind w:left="142" w:hanging="142"/>
            </w:pPr>
            <w:r>
              <w:rPr>
                <w:sz w:val="14"/>
              </w:rPr>
              <w:t>• Oral: "no dijiste cuál proceso era", "errores en las entradas y salidas", "pintaste tres y cada uno tenía problemas de correspondencia con el DV", "varias actividades no concuerdan con el DV".</w:t>
            </w:r>
          </w:p>
        </w:tc>
        <w:tc>
          <w:tcPr>
            <w:tcW w:type="dxa" w:w="2835"/>
            <w:shd w:val="clear" w:color="auto" w:fill="F7F0F2"/>
          </w:tcPr>
          <w:p>
            <w:pPr>
              <w:spacing w:after="20"/>
            </w:pPr>
            <w:r/>
            <w:r>
              <w:rPr>
                <w:sz w:val="14"/>
              </w:rPr>
              <w:t xml:space="preserve">Dos procesos del estudiante: coordinación de agendas y gestión de pasantía (apoyo); redacción de contratos en la pasantía (primario). Ya hay tabla; </w:t>
            </w:r>
            <w:r>
              <w:rPr>
                <w:b/>
                <w:sz w:val="14"/>
              </w:rPr>
              <w:t>falta el diagrama UML/BPMN</w:t>
            </w:r>
            <w:r>
              <w:rPr>
                <w:sz w:val="14"/>
              </w:rPr>
              <w:t xml:space="preserve"> y validarlo con otro estudiante.</w:t>
            </w:r>
          </w:p>
        </w:tc>
        <w:tc>
          <w:tcPr>
            <w:tcW w:type="dxa" w:w="1304"/>
            <w:shd w:val="clear" w:color="auto" w:fill="F7F0F2"/>
          </w:tcPr>
          <w:p>
            <w:pPr>
              <w:spacing w:after="20"/>
            </w:pPr>
            <w:r/>
            <w:r>
              <w:rPr>
                <w:sz w:val="14"/>
              </w:rPr>
              <w:t xml:space="preserve">Tabla hecha. </w:t>
            </w:r>
            <w:r>
              <w:rPr>
                <w:sz w:val="14"/>
                <w:highlight w:val="yellow"/>
              </w:rPr>
              <w:t>[Dibujar los 2 diagramas y citar recursos de TI]</w:t>
            </w:r>
            <w:r>
              <w:rPr>
                <w:sz w:val="14"/>
              </w:rPr>
              <w:t>.</w:t>
            </w:r>
          </w:p>
        </w:tc>
      </w:tr>
      <w:tr>
        <w:trPr>
          <w:cantSplit w:val="true"/>
        </w:trPr>
        <w:tc>
          <w:tcPr>
            <w:tcW w:type="dxa" w:w="1814"/>
          </w:tcPr>
          <w:p>
            <w:pPr>
              <w:spacing w:after="20"/>
            </w:pPr>
            <w:r/>
            <w:r>
              <w:rPr>
                <w:b/>
                <w:sz w:val="14"/>
              </w:rPr>
              <w:t>Apéndice E. Usuarios potenciales del grupo piloto</w:t>
            </w:r>
          </w:p>
          <w:p>
            <w:pPr>
              <w:spacing w:after="20"/>
            </w:pPr>
            <w:r>
              <w:rPr>
                <w:b/>
                <w:sz w:val="14"/>
              </w:rPr>
              <w:t>0,5 pto</w:t>
            </w:r>
          </w:p>
        </w:tc>
        <w:tc>
          <w:tcPr>
            <w:tcW w:type="dxa" w:w="3231"/>
          </w:tcPr>
          <w:p>
            <w:pPr>
              <w:spacing w:after="20"/>
              <w:ind w:left="142" w:hanging="142"/>
            </w:pPr>
            <w:r/>
            <w:r>
              <w:rPr>
                <w:sz w:val="14"/>
              </w:rPr>
              <w:t xml:space="preserve">• Lista con </w:t>
            </w:r>
            <w:r>
              <w:rPr>
                <w:b/>
                <w:sz w:val="14"/>
              </w:rPr>
              <w:t>contactos reales y trazables</w:t>
            </w:r>
            <w:r>
              <w:rPr>
                <w:sz w:val="14"/>
              </w:rPr>
              <w:t>, de al menos N usuarios potenciales (el número está cortado en el instructivo: preguntar) según el mercado.</w:t>
            </w:r>
          </w:p>
          <w:p>
            <w:pPr>
              <w:spacing w:after="20"/>
              <w:ind w:left="142" w:hanging="142"/>
            </w:pPr>
            <w:r>
              <w:rPr>
                <w:sz w:val="14"/>
              </w:rPr>
              <w:t>• Perfil, actividades y expectativas de cada uno.</w:t>
            </w:r>
          </w:p>
          <w:p>
            <w:pPr>
              <w:spacing w:after="20"/>
              <w:ind w:left="142" w:hanging="142"/>
            </w:pPr>
            <w:r>
              <w:rPr>
                <w:sz w:val="14"/>
              </w:rPr>
              <w:t>• Debe coincidir con los clientes mencionados en el texto.</w:t>
            </w:r>
          </w:p>
        </w:tc>
        <w:tc>
          <w:tcPr>
            <w:tcW w:type="dxa" w:w="2551"/>
          </w:tcPr>
          <w:p>
            <w:pPr>
              <w:spacing w:after="20"/>
            </w:pPr>
            <w:r/>
            <w:r>
              <w:rPr>
                <w:b/>
                <w:sz w:val="14"/>
              </w:rPr>
              <w:t>Modelos:</w:t>
            </w:r>
            <w:r>
              <w:rPr>
                <w:sz w:val="14"/>
              </w:rPr>
              <w:t xml:space="preserve"> SyncMinds (3 empresas con RIF, ubicación, perfil operativo, estado tecnológico, desafíos y expectativas) y EcoFashion (clientes con nombre real).</w:t>
            </w:r>
          </w:p>
        </w:tc>
        <w:tc>
          <w:tcPr>
            <w:tcW w:type="dxa" w:w="3175"/>
          </w:tcPr>
          <w:p>
            <w:pPr>
              <w:spacing w:after="20"/>
              <w:ind w:left="142" w:hanging="142"/>
            </w:pPr>
            <w:r/>
            <w:r>
              <w:rPr>
                <w:sz w:val="14"/>
              </w:rPr>
              <w:t>• "¿Personas reales?" (Solvix).</w:t>
            </w:r>
          </w:p>
          <w:p>
            <w:pPr>
              <w:spacing w:after="20"/>
              <w:ind w:left="142" w:hanging="142"/>
            </w:pPr>
            <w:r>
              <w:rPr>
                <w:sz w:val="14"/>
              </w:rPr>
              <w:t>• "Referencia de contacto de esos clientes?" (SyncMinds).</w:t>
            </w:r>
          </w:p>
          <w:p>
            <w:pPr>
              <w:spacing w:after="20"/>
              <w:ind w:left="142" w:hanging="142"/>
            </w:pPr>
            <w:r>
              <w:rPr>
                <w:sz w:val="14"/>
              </w:rPr>
              <w:t>• "Cambiaron los clientes" (Café).</w:t>
            </w:r>
          </w:p>
          <w:p>
            <w:pPr>
              <w:spacing w:after="20"/>
              <w:ind w:left="142" w:hanging="142"/>
            </w:pPr>
            <w:r>
              <w:rPr>
                <w:sz w:val="14"/>
              </w:rPr>
              <w:t>• "Veo que los contactaron pero cómo van a recopilar información relevante de esas empresas" (Café).</w:t>
            </w:r>
          </w:p>
        </w:tc>
        <w:tc>
          <w:tcPr>
            <w:tcW w:type="dxa" w:w="2835"/>
          </w:tcPr>
          <w:p>
            <w:pPr>
              <w:spacing w:after="20"/>
            </w:pPr>
            <w:r/>
            <w:r>
              <w:rPr>
                <w:sz w:val="14"/>
              </w:rPr>
              <w:t>Los dos estudiantes entrevistados + estudiantes de Clínica Jurídica, firma y corporativo. Pedir correo/teléfono y consentimiento. Explicar cómo se recopilará información (entrevistas en pareja, cuestionarios cerrados).</w:t>
            </w:r>
          </w:p>
        </w:tc>
        <w:tc>
          <w:tcPr>
            <w:tcW w:type="dxa" w:w="1304"/>
          </w:tcPr>
          <w:p>
            <w:pPr>
              <w:spacing w:after="20"/>
            </w:pPr>
            <w:r/>
            <w:r>
              <w:rPr>
                <w:sz w:val="14"/>
              </w:rPr>
              <w:t xml:space="preserve">Plantilla con 2 nombres reales. </w:t>
            </w:r>
            <w:r>
              <w:rPr>
                <w:sz w:val="14"/>
                <w:highlight w:val="yellow"/>
              </w:rPr>
              <w:t>[Completar contactos y la cantidad mínima]</w:t>
            </w:r>
            <w:r>
              <w:rPr>
                <w:sz w:val="14"/>
              </w:rPr>
              <w:t>.</w:t>
            </w:r>
          </w:p>
        </w:tc>
      </w:tr>
    </w:tbl>
    <w:p>
      <w:pPr>
        <w:spacing w:after="40"/>
      </w:pPr>
    </w:p>
    <w:p>
      <w:r>
        <w:br w:type="page"/>
      </w:r>
    </w:p>
    <w:p>
      <w:pPr>
        <w:pStyle w:val="Heading1"/>
      </w:pPr>
      <w:r>
        <w:t>4. Lo que aportan las dos conversaciones</w:t>
      </w:r>
    </w:p>
    <w:p>
      <w:pPr>
        <w:pStyle w:val="Heading2"/>
      </w:pPr>
      <w:r>
        <w:t>4.1 Consulta con la profesora (audio del 15/10/2026)</w:t>
      </w:r>
    </w:p>
    <w:tbl>
      <w:tblPr>
        <w:tblStyle w:val="TableGrid"/>
        <w:tblW w:type="auto" w:w="0"/>
        <w:jc w:val="center"/>
        <w:tblLayout w:type="fixed"/>
        <w:tblLook w:firstColumn="1" w:firstRow="1" w:lastColumn="0" w:lastRow="0" w:noHBand="0" w:noVBand="1" w:val="04A0"/>
      </w:tblPr>
      <w:tblGrid>
        <w:gridCol w:w="7013"/>
        <w:gridCol w:w="7013"/>
      </w:tblGrid>
      <w:tr>
        <w:trPr>
          <w:tblHeader w:val="true"/>
        </w:trPr>
        <w:tc>
          <w:tcPr>
            <w:tcW w:type="dxa" w:w="7087"/>
            <w:shd w:val="clear" w:color="auto" w:fill="7A1F3D"/>
          </w:tcPr>
          <w:p>
            <w:r/>
            <w:r>
              <w:rPr>
                <w:b/>
                <w:color w:val="FFFFFF"/>
                <w:sz w:val="17"/>
              </w:rPr>
              <w:t>Indicación de la profesora</w:t>
            </w:r>
          </w:p>
        </w:tc>
        <w:tc>
          <w:tcPr>
            <w:tcW w:type="dxa" w:w="7654"/>
            <w:shd w:val="clear" w:color="auto" w:fill="7A1F3D"/>
          </w:tcPr>
          <w:p>
            <w:r/>
            <w:r>
              <w:rPr>
                <w:b/>
                <w:color w:val="FFFFFF"/>
                <w:sz w:val="17"/>
              </w:rPr>
              <w:t>Cómo la aplicamos en el documento</w:t>
            </w:r>
          </w:p>
        </w:tc>
      </w:tr>
      <w:tr>
        <w:trPr>
          <w:cantSplit w:val="true"/>
        </w:trPr>
        <w:tc>
          <w:tcPr>
            <w:tcW w:type="dxa" w:w="7087"/>
          </w:tcPr>
          <w:p>
            <w:pPr>
              <w:spacing w:after="20"/>
            </w:pPr>
            <w:r/>
            <w:r>
              <w:rPr>
                <w:sz w:val="17"/>
              </w:rPr>
              <w:t>El documento de visión debió empezar al conocerse la asignación; fue un error esperar a las entrevistas.</w:t>
            </w:r>
          </w:p>
        </w:tc>
        <w:tc>
          <w:tcPr>
            <w:tcW w:type="dxa" w:w="7654"/>
          </w:tcPr>
          <w:p>
            <w:pPr>
              <w:spacing w:after="20"/>
            </w:pPr>
            <w:r/>
            <w:r>
              <w:rPr>
                <w:sz w:val="17"/>
              </w:rPr>
              <w:t>El Apéndice B refleja la línea de tiempo real; tenemos que escribir ya y usar las entrevistas para validar.</w:t>
            </w:r>
          </w:p>
        </w:tc>
      </w:tr>
      <w:tr>
        <w:trPr>
          <w:cantSplit w:val="true"/>
        </w:trPr>
        <w:tc>
          <w:tcPr>
            <w:tcW w:type="dxa" w:w="7087"/>
            <w:shd w:val="clear" w:color="auto" w:fill="F7F0F2"/>
          </w:tcPr>
          <w:p>
            <w:pPr>
              <w:spacing w:after="20"/>
            </w:pPr>
            <w:r/>
            <w:r>
              <w:rPr>
                <w:sz w:val="17"/>
              </w:rPr>
              <w:t>Todos los estudiantes de último año comparten procesos: aprender, revisiones documentales, buscar prácticas o trabajo de grado, planificar la inserción laboral.</w:t>
            </w:r>
          </w:p>
        </w:tc>
        <w:tc>
          <w:tcPr>
            <w:tcW w:type="dxa" w:w="7654"/>
            <w:shd w:val="clear" w:color="auto" w:fill="F7F0F2"/>
          </w:tcPr>
          <w:p>
            <w:pPr>
              <w:spacing w:after="20"/>
            </w:pPr>
            <w:r/>
            <w:r>
              <w:rPr>
                <w:sz w:val="17"/>
              </w:rPr>
              <w:t>Base de la Declaración y de los procesos del Apéndice D.</w:t>
            </w:r>
          </w:p>
        </w:tc>
      </w:tr>
      <w:tr>
        <w:trPr>
          <w:cantSplit w:val="true"/>
        </w:trPr>
        <w:tc>
          <w:tcPr>
            <w:tcW w:type="dxa" w:w="7087"/>
          </w:tcPr>
          <w:p>
            <w:pPr>
              <w:spacing w:after="20"/>
            </w:pPr>
            <w:r/>
            <w:r>
              <w:rPr>
                <w:sz w:val="17"/>
              </w:rPr>
              <w:t>No hace falta adivinar el entorno del abogado: basta revisar el pensum de Derecho para conocer los requisitos de egreso (pasantías).</w:t>
            </w:r>
          </w:p>
        </w:tc>
        <w:tc>
          <w:tcPr>
            <w:tcW w:type="dxa" w:w="7654"/>
          </w:tcPr>
          <w:p>
            <w:pPr>
              <w:spacing w:after="20"/>
            </w:pPr>
            <w:r/>
            <w:r>
              <w:rPr>
                <w:sz w:val="17"/>
              </w:rPr>
              <w:t>Citar el pensum UCAB; descubrimos que no hay tesis y que el servicio comunitario pasa por la Clínica Jurídica.</w:t>
            </w:r>
          </w:p>
        </w:tc>
      </w:tr>
      <w:tr>
        <w:trPr>
          <w:cantSplit w:val="true"/>
        </w:trPr>
        <w:tc>
          <w:tcPr>
            <w:tcW w:type="dxa" w:w="7087"/>
            <w:shd w:val="clear" w:color="auto" w:fill="F7F0F2"/>
          </w:tcPr>
          <w:p>
            <w:pPr>
              <w:spacing w:after="20"/>
            </w:pPr>
            <w:r/>
            <w:r>
              <w:rPr>
                <w:sz w:val="17"/>
              </w:rPr>
              <w:t>Las entrevistas validan hipótesis y arman la lista de usuarios potenciales; no son un requisito para empezar.</w:t>
            </w:r>
          </w:p>
        </w:tc>
        <w:tc>
          <w:tcPr>
            <w:tcW w:type="dxa" w:w="7654"/>
            <w:shd w:val="clear" w:color="auto" w:fill="F7F0F2"/>
          </w:tcPr>
          <w:p>
            <w:pPr>
              <w:spacing w:after="20"/>
            </w:pPr>
            <w:r/>
            <w:r>
              <w:rPr>
                <w:sz w:val="17"/>
              </w:rPr>
              <w:t>Formular hipótesis primero (ya hecho) y alimentar el Apéndice E.</w:t>
            </w:r>
          </w:p>
        </w:tc>
      </w:tr>
      <w:tr>
        <w:trPr>
          <w:cantSplit w:val="true"/>
        </w:trPr>
        <w:tc>
          <w:tcPr>
            <w:tcW w:type="dxa" w:w="7087"/>
          </w:tcPr>
          <w:p>
            <w:pPr>
              <w:spacing w:after="20"/>
            </w:pPr>
            <w:r/>
            <w:r>
              <w:rPr>
                <w:sz w:val="17"/>
              </w:rPr>
              <w:t>No se repiten apps entre las 3 secciones. Tomadas — especializadas: Abuscos, Lexios Venezuela, Open Contacts; generales: Obsidian, Google Workspace, Clio, Jira, ClickUp, Zoho.</w:t>
            </w:r>
          </w:p>
        </w:tc>
        <w:tc>
          <w:tcPr>
            <w:tcW w:type="dxa" w:w="7654"/>
          </w:tcPr>
          <w:p>
            <w:pPr>
              <w:spacing w:after="20"/>
            </w:pPr>
            <w:r/>
            <w:r>
              <w:rPr>
                <w:sz w:val="17"/>
              </w:rPr>
              <w:t xml:space="preserve">Nuestras candidatas no están en la lista; hay que </w:t>
            </w:r>
            <w:r>
              <w:rPr>
                <w:b/>
                <w:sz w:val="17"/>
              </w:rPr>
              <w:t>reservarlas ya</w:t>
            </w:r>
            <w:r>
              <w:rPr>
                <w:sz w:val="17"/>
              </w:rPr>
              <w:t>: si entregamos una repetida y no validada, tendremos que cambiarla.</w:t>
            </w:r>
          </w:p>
        </w:tc>
      </w:tr>
      <w:tr>
        <w:trPr>
          <w:cantSplit w:val="true"/>
        </w:trPr>
        <w:tc>
          <w:tcPr>
            <w:tcW w:type="dxa" w:w="7087"/>
            <w:shd w:val="clear" w:color="auto" w:fill="F7F0F2"/>
          </w:tcPr>
          <w:p>
            <w:pPr>
              <w:spacing w:after="20"/>
            </w:pPr>
            <w:r/>
            <w:r>
              <w:rPr>
                <w:sz w:val="17"/>
              </w:rPr>
              <w:t>Orden de revisión: 1) equipos que fueron a consulta, 2) orden de llegada de los correos, 3) quienes nunca consultaron.</w:t>
            </w:r>
          </w:p>
        </w:tc>
        <w:tc>
          <w:tcPr>
            <w:tcW w:type="dxa" w:w="7654"/>
            <w:shd w:val="clear" w:color="auto" w:fill="F7F0F2"/>
          </w:tcPr>
          <w:p>
            <w:pPr>
              <w:spacing w:after="20"/>
            </w:pPr>
            <w:r/>
            <w:r>
              <w:rPr>
                <w:sz w:val="17"/>
              </w:rPr>
              <w:t>Ir a la consulta del jueves 22/10 y enviar el correo temprano (ver plantilla en §6).</w:t>
            </w:r>
          </w:p>
        </w:tc>
      </w:tr>
      <w:tr>
        <w:trPr>
          <w:cantSplit w:val="true"/>
        </w:trPr>
        <w:tc>
          <w:tcPr>
            <w:tcW w:type="dxa" w:w="7087"/>
          </w:tcPr>
          <w:p>
            <w:pPr>
              <w:spacing w:after="20"/>
            </w:pPr>
            <w:r/>
            <w:r>
              <w:rPr>
                <w:sz w:val="17"/>
              </w:rPr>
              <w:t xml:space="preserve">Llevar a la próxima consulta dudas sobre las </w:t>
            </w:r>
            <w:r>
              <w:rPr>
                <w:b/>
                <w:sz w:val="17"/>
              </w:rPr>
              <w:t>actividades del usuario</w:t>
            </w:r>
            <w:r>
              <w:rPr>
                <w:sz w:val="17"/>
              </w:rPr>
              <w:t xml:space="preserve"> (no sólo del formato) y la lista de apps elegidas.</w:t>
            </w:r>
          </w:p>
        </w:tc>
        <w:tc>
          <w:tcPr>
            <w:tcW w:type="dxa" w:w="7654"/>
          </w:tcPr>
          <w:p>
            <w:pPr>
              <w:spacing w:after="20"/>
            </w:pPr>
            <w:r/>
            <w:r>
              <w:rPr>
                <w:sz w:val="17"/>
              </w:rPr>
              <w:t>Preguntas sugeridas en §7.</w:t>
            </w:r>
          </w:p>
        </w:tc>
      </w:tr>
    </w:tbl>
    <w:p>
      <w:pPr>
        <w:spacing w:after="40"/>
      </w:pPr>
    </w:p>
    <w:p>
      <w:pPr>
        <w:pStyle w:val="Heading2"/>
      </w:pPr>
      <w:r>
        <w:t>4.2 Entrevista a estudiantes de último año de Derecho (audio del 16/10/2026)</w:t>
      </w:r>
    </w:p>
    <w:tbl>
      <w:tblPr>
        <w:tblStyle w:val="TableGrid"/>
        <w:tblW w:type="auto" w:w="0"/>
        <w:jc w:val="center"/>
        <w:tblLayout w:type="fixed"/>
        <w:tblLook w:firstColumn="1" w:firstRow="1" w:lastColumn="0" w:lastRow="0" w:noHBand="0" w:noVBand="1" w:val="04A0"/>
      </w:tblPr>
      <w:tblGrid>
        <w:gridCol w:w="7013"/>
        <w:gridCol w:w="7013"/>
      </w:tblGrid>
      <w:tr>
        <w:trPr>
          <w:tblHeader w:val="true"/>
        </w:trPr>
        <w:tc>
          <w:tcPr>
            <w:tcW w:type="dxa" w:w="9071"/>
            <w:shd w:val="clear" w:color="auto" w:fill="7A1F3D"/>
          </w:tcPr>
          <w:p>
            <w:r/>
            <w:r>
              <w:rPr>
                <w:b/>
                <w:color w:val="FFFFFF"/>
                <w:sz w:val="17"/>
              </w:rPr>
              <w:t>Hallazgo</w:t>
            </w:r>
          </w:p>
        </w:tc>
        <w:tc>
          <w:tcPr>
            <w:tcW w:type="dxa" w:w="5669"/>
            <w:shd w:val="clear" w:color="auto" w:fill="7A1F3D"/>
          </w:tcPr>
          <w:p>
            <w:r/>
            <w:r>
              <w:rPr>
                <w:b/>
                <w:color w:val="FFFFFF"/>
                <w:sz w:val="17"/>
              </w:rPr>
              <w:t>Dónde entra</w:t>
            </w:r>
          </w:p>
        </w:tc>
      </w:tr>
      <w:tr>
        <w:trPr>
          <w:cantSplit w:val="true"/>
        </w:trPr>
        <w:tc>
          <w:tcPr>
            <w:tcW w:type="dxa" w:w="9071"/>
          </w:tcPr>
          <w:p>
            <w:pPr>
              <w:spacing w:after="20"/>
            </w:pPr>
            <w:r/>
            <w:r>
              <w:rPr>
                <w:sz w:val="17"/>
              </w:rPr>
              <w:t>Trabajo de calle (registros, notarías, tribunales) en horario de mañana y primeras horas de la tarde vs clases de mediodía a tarde; tres agendas; sector público inestable.</w:t>
            </w:r>
          </w:p>
        </w:tc>
        <w:tc>
          <w:tcPr>
            <w:tcW w:type="dxa" w:w="5669"/>
          </w:tcPr>
          <w:p>
            <w:pPr>
              <w:spacing w:after="20"/>
            </w:pPr>
            <w:r/>
            <w:r>
              <w:rPr>
                <w:sz w:val="17"/>
              </w:rPr>
              <w:t>Declaración (problema 1) → app general (agendas) → proceso D1.</w:t>
            </w:r>
          </w:p>
        </w:tc>
      </w:tr>
      <w:tr>
        <w:trPr>
          <w:cantSplit w:val="true"/>
        </w:trPr>
        <w:tc>
          <w:tcPr>
            <w:tcW w:type="dxa" w:w="9071"/>
            <w:shd w:val="clear" w:color="auto" w:fill="F7F0F2"/>
          </w:tcPr>
          <w:p>
            <w:pPr>
              <w:spacing w:after="20"/>
            </w:pPr>
            <w:r/>
            <w:r>
              <w:rPr>
                <w:sz w:val="17"/>
              </w:rPr>
              <w:t>Pasantías: boca a boca (principal), LinkedIn, grupos estudiantiles. Modalidades: in-house/corporativo (home office, tardes), firmas (jornada reducida 1:30–5:00 p. m.), Parque Social/Clínica Jurídica (adaptable).</w:t>
            </w:r>
          </w:p>
        </w:tc>
        <w:tc>
          <w:tcPr>
            <w:tcW w:type="dxa" w:w="5669"/>
            <w:shd w:val="clear" w:color="auto" w:fill="F7F0F2"/>
          </w:tcPr>
          <w:p>
            <w:pPr>
              <w:spacing w:after="20"/>
            </w:pPr>
            <w:r/>
            <w:r>
              <w:rPr>
                <w:sz w:val="17"/>
              </w:rPr>
              <w:t>Declaración (problema 2); perfiles del Apéndice E (un estudiante por modalidad).</w:t>
            </w:r>
          </w:p>
        </w:tc>
      </w:tr>
      <w:tr>
        <w:trPr>
          <w:cantSplit w:val="true"/>
        </w:trPr>
        <w:tc>
          <w:tcPr>
            <w:tcW w:type="dxa" w:w="9071"/>
          </w:tcPr>
          <w:p>
            <w:pPr>
              <w:spacing w:after="20"/>
            </w:pPr>
            <w:r/>
            <w:r>
              <w:rPr>
                <w:sz w:val="17"/>
              </w:rPr>
              <w:t>Herramientas que conocen: Microjuris (paga), Adobe Sign, SAP Ariba. Derecho penal es el área más compleja para pasantías.</w:t>
            </w:r>
          </w:p>
        </w:tc>
        <w:tc>
          <w:tcPr>
            <w:tcW w:type="dxa" w:w="5669"/>
          </w:tcPr>
          <w:p>
            <w:pPr>
              <w:spacing w:after="20"/>
            </w:pPr>
            <w:r/>
            <w:r>
              <w:rPr>
                <w:sz w:val="17"/>
              </w:rPr>
              <w:t>Declaración (herramientas actuales), recursos de TI del proceso D2, limitaciones (sin penal).</w:t>
            </w:r>
          </w:p>
        </w:tc>
      </w:tr>
      <w:tr>
        <w:trPr>
          <w:cantSplit w:val="true"/>
        </w:trPr>
        <w:tc>
          <w:tcPr>
            <w:tcW w:type="dxa" w:w="9071"/>
            <w:shd w:val="clear" w:color="auto" w:fill="F7F0F2"/>
          </w:tcPr>
          <w:p>
            <w:pPr>
              <w:spacing w:after="20"/>
            </w:pPr>
            <w:r/>
            <w:r>
              <w:rPr>
                <w:sz w:val="17"/>
              </w:rPr>
              <w:t>Requisitos reales de egreso: pasantía y servicio comunitario en Parque Social; no hay tesis.</w:t>
            </w:r>
          </w:p>
        </w:tc>
        <w:tc>
          <w:tcPr>
            <w:tcW w:type="dxa" w:w="5669"/>
            <w:shd w:val="clear" w:color="auto" w:fill="F7F0F2"/>
          </w:tcPr>
          <w:p>
            <w:pPr>
              <w:spacing w:after="20"/>
            </w:pPr>
            <w:r/>
            <w:r>
              <w:rPr>
                <w:sz w:val="17"/>
              </w:rPr>
              <w:t>Declaración y resultado esperado (cumplir el requisito).</w:t>
            </w:r>
          </w:p>
        </w:tc>
      </w:tr>
      <w:tr>
        <w:trPr>
          <w:cantSplit w:val="true"/>
        </w:trPr>
        <w:tc>
          <w:tcPr>
            <w:tcW w:type="dxa" w:w="9071"/>
          </w:tcPr>
          <w:p>
            <w:pPr>
              <w:spacing w:after="20"/>
            </w:pPr>
            <w:r/>
            <w:r>
              <w:rPr>
                <w:sz w:val="17"/>
              </w:rPr>
              <w:t>Redacción de contratos = "rompecabezas" de cláusulas estandarizadas, muy automatizable; jurisprudencia repetitiva y ya apoyada con IA.</w:t>
            </w:r>
          </w:p>
        </w:tc>
        <w:tc>
          <w:tcPr>
            <w:tcW w:type="dxa" w:w="5669"/>
          </w:tcPr>
          <w:p>
            <w:pPr>
              <w:spacing w:after="20"/>
            </w:pPr>
            <w:r/>
            <w:r>
              <w:rPr>
                <w:sz w:val="17"/>
              </w:rPr>
              <w:t>Justificación de la app especializada; OE3 (caso de uso 2).</w:t>
            </w:r>
          </w:p>
        </w:tc>
      </w:tr>
      <w:tr>
        <w:trPr>
          <w:cantSplit w:val="true"/>
        </w:trPr>
        <w:tc>
          <w:tcPr>
            <w:tcW w:type="dxa" w:w="9071"/>
            <w:shd w:val="clear" w:color="auto" w:fill="F7F0F2"/>
          </w:tcPr>
          <w:p>
            <w:pPr>
              <w:spacing w:after="20"/>
            </w:pPr>
            <w:r/>
            <w:r>
              <w:rPr>
                <w:sz w:val="17"/>
              </w:rPr>
              <w:t>Cuello de botella insoluble por software privado: registros y tribunales.</w:t>
            </w:r>
          </w:p>
        </w:tc>
        <w:tc>
          <w:tcPr>
            <w:tcW w:type="dxa" w:w="5669"/>
            <w:shd w:val="clear" w:color="auto" w:fill="F7F0F2"/>
          </w:tcPr>
          <w:p>
            <w:pPr>
              <w:spacing w:after="20"/>
            </w:pPr>
            <w:r/>
            <w:r>
              <w:rPr>
                <w:sz w:val="17"/>
              </w:rPr>
              <w:t xml:space="preserve">Se declara </w:t>
            </w:r>
            <w:r>
              <w:rPr>
                <w:b/>
                <w:sz w:val="17"/>
              </w:rPr>
              <w:t>fuera del alcance</w:t>
            </w:r>
            <w:r>
              <w:rPr>
                <w:sz w:val="17"/>
              </w:rPr>
              <w:t xml:space="preserve"> (limitación).</w:t>
            </w:r>
          </w:p>
        </w:tc>
      </w:tr>
      <w:tr>
        <w:trPr>
          <w:cantSplit w:val="true"/>
        </w:trPr>
        <w:tc>
          <w:tcPr>
            <w:tcW w:type="dxa" w:w="9071"/>
          </w:tcPr>
          <w:p>
            <w:pPr>
              <w:spacing w:after="20"/>
            </w:pPr>
            <w:r/>
            <w:r>
              <w:rPr>
                <w:sz w:val="17"/>
              </w:rPr>
              <w:t>Oportunidades: app general que cruce horarios con ofertas compatibles; app específica con IA para armar contratos con bloques de cláusulas.</w:t>
            </w:r>
          </w:p>
        </w:tc>
        <w:tc>
          <w:tcPr>
            <w:tcW w:type="dxa" w:w="5669"/>
          </w:tcPr>
          <w:p>
            <w:pPr>
              <w:spacing w:after="20"/>
            </w:pPr>
            <w:r/>
            <w:r>
              <w:rPr>
                <w:sz w:val="17"/>
              </w:rPr>
              <w:t>Solución propuesta y flujo de valor.</w:t>
            </w:r>
          </w:p>
        </w:tc>
      </w:tr>
    </w:tbl>
    <w:p>
      <w:pPr>
        <w:spacing w:after="40"/>
      </w:pPr>
    </w:p>
    <w:p>
      <w:pPr>
        <w:jc w:val="both"/>
      </w:pPr>
      <w:r>
        <w:rPr>
          <w:b/>
          <w:sz w:val="19"/>
        </w:rPr>
        <w:t>Ojo (honestidad metodológica).</w:t>
      </w:r>
      <w:r>
        <w:rPr>
          <w:sz w:val="19"/>
        </w:rPr>
        <w:t xml:space="preserve"> La entrevista fue con </w:t>
      </w:r>
      <w:r>
        <w:rPr>
          <w:b/>
          <w:sz w:val="19"/>
        </w:rPr>
        <w:t>2</w:t>
      </w:r>
      <w:r>
        <w:rPr>
          <w:sz w:val="19"/>
        </w:rPr>
        <w:t xml:space="preserve"> estudiantes de una sola universidad. El documento debe decirlo como "validación preliminar" y el equipo conviene que haga 2–3 entrevistas más (en pareja, de 10 min a 1 h, con autorización si se graba) para sostener el mercado y llenar el Apéndice E. Además, ninguna de las dos herramientas especializadas está probada aún con derecho venezolano ni en español: eso es un criterio de evaluación, no un supuesto.</w:t>
      </w:r>
    </w:p>
    <w:p>
      <w:r>
        <w:br w:type="page"/>
      </w:r>
    </w:p>
    <w:p>
      <w:pPr>
        <w:pStyle w:val="Heading1"/>
      </w:pPr>
      <w:r>
        <w:t>5. Precios y tarifas: cómo se calculó y qué falta verificar</w:t>
      </w:r>
    </w:p>
    <w:p>
      <w:pPr>
        <w:jc w:val="both"/>
      </w:pPr>
      <w:r>
        <w:rPr>
          <w:sz w:val="19"/>
        </w:rPr>
        <w:t xml:space="preserve">Fórmula usada (igual a la de SyncMinds): </w:t>
      </w:r>
      <w:r>
        <w:rPr>
          <w:b/>
          <w:sz w:val="19"/>
        </w:rPr>
        <w:t>costo por rol = horas × tarifa por hora</w:t>
      </w:r>
      <w:r>
        <w:rPr>
          <w:sz w:val="19"/>
        </w:rPr>
        <w:t xml:space="preserve">; </w:t>
      </w:r>
      <w:r>
        <w:rPr>
          <w:b/>
          <w:sz w:val="19"/>
        </w:rPr>
        <w:t>costo de desarrollo = Σ costo por rol + suscripciones de prueba</w:t>
      </w:r>
      <w:r>
        <w:rPr>
          <w:sz w:val="19"/>
        </w:rPr>
        <w:t xml:space="preserve">; </w:t>
      </w:r>
      <w:r>
        <w:rPr>
          <w:b/>
          <w:sz w:val="19"/>
        </w:rPr>
        <w:t>mantenimiento anual = precio mensual por usuario × 12</w:t>
      </w:r>
      <w:r>
        <w:rPr>
          <w:sz w:val="19"/>
        </w:rPr>
        <w:t xml:space="preserve"> de las apps elegidas.</w:t>
      </w:r>
    </w:p>
    <w:p>
      <w:pPr>
        <w:pStyle w:val="Heading2"/>
      </w:pPr>
      <w:r>
        <w:t>5.1 Tarifas por hora y horas del equipo</w:t>
      </w:r>
    </w:p>
    <w:tbl>
      <w:tblPr>
        <w:tblStyle w:val="TableGrid"/>
        <w:tblW w:type="auto" w:w="0"/>
        <w:jc w:val="center"/>
        <w:tblLayout w:type="fixed"/>
        <w:tblLook w:firstColumn="1" w:firstRow="1" w:lastColumn="0" w:lastRow="0" w:noHBand="0" w:noVBand="1" w:val="04A0"/>
      </w:tblPr>
      <w:tblGrid>
        <w:gridCol w:w="3506"/>
        <w:gridCol w:w="3506"/>
        <w:gridCol w:w="3506"/>
        <w:gridCol w:w="3506"/>
      </w:tblGrid>
      <w:tr>
        <w:trPr>
          <w:tblHeader w:val="true"/>
        </w:trPr>
        <w:tc>
          <w:tcPr>
            <w:tcW w:type="dxa" w:w="6803"/>
            <w:shd w:val="clear" w:color="auto" w:fill="7A1F3D"/>
          </w:tcPr>
          <w:p>
            <w:r/>
            <w:r>
              <w:rPr>
                <w:b/>
                <w:color w:val="FFFFFF"/>
                <w:sz w:val="17"/>
              </w:rPr>
              <w:t>Rol</w:t>
            </w:r>
          </w:p>
        </w:tc>
        <w:tc>
          <w:tcPr>
            <w:tcW w:type="dxa" w:w="2835"/>
            <w:shd w:val="clear" w:color="auto" w:fill="7A1F3D"/>
          </w:tcPr>
          <w:p>
            <w:r/>
            <w:r>
              <w:rPr>
                <w:b/>
                <w:color w:val="FFFFFF"/>
                <w:sz w:val="17"/>
              </w:rPr>
              <w:t>Tarifa USD/h (provisional)</w:t>
            </w:r>
          </w:p>
        </w:tc>
        <w:tc>
          <w:tcPr>
            <w:tcW w:type="dxa" w:w="2268"/>
            <w:shd w:val="clear" w:color="auto" w:fill="7A1F3D"/>
          </w:tcPr>
          <w:p>
            <w:r/>
            <w:r>
              <w:rPr>
                <w:b/>
                <w:color w:val="FFFFFF"/>
                <w:sz w:val="17"/>
              </w:rPr>
              <w:t>Horas</w:t>
            </w:r>
          </w:p>
        </w:tc>
        <w:tc>
          <w:tcPr>
            <w:tcW w:type="dxa" w:w="2835"/>
            <w:shd w:val="clear" w:color="auto" w:fill="7A1F3D"/>
          </w:tcPr>
          <w:p>
            <w:r/>
            <w:r>
              <w:rPr>
                <w:b/>
                <w:color w:val="FFFFFF"/>
                <w:sz w:val="17"/>
              </w:rPr>
              <w:t>Costo (USD)</w:t>
            </w:r>
          </w:p>
        </w:tc>
      </w:tr>
      <w:tr>
        <w:trPr>
          <w:cantSplit w:val="true"/>
        </w:trPr>
        <w:tc>
          <w:tcPr>
            <w:tcW w:type="dxa" w:w="6803"/>
          </w:tcPr>
          <w:p>
            <w:pPr>
              <w:spacing w:after="20"/>
            </w:pPr>
            <w:r/>
            <w:r>
              <w:rPr>
                <w:sz w:val="17"/>
              </w:rPr>
              <w:t>Analista (Líder de requisitos)</w:t>
            </w:r>
          </w:p>
        </w:tc>
        <w:tc>
          <w:tcPr>
            <w:tcW w:type="dxa" w:w="2835"/>
          </w:tcPr>
          <w:p>
            <w:pPr>
              <w:spacing w:after="20"/>
            </w:pPr>
            <w:r/>
            <w:r>
              <w:rPr>
                <w:sz w:val="17"/>
              </w:rPr>
              <w:t>$4.00</w:t>
            </w:r>
          </w:p>
        </w:tc>
        <w:tc>
          <w:tcPr>
            <w:tcW w:type="dxa" w:w="2268"/>
          </w:tcPr>
          <w:p>
            <w:pPr>
              <w:spacing w:after="20"/>
            </w:pPr>
            <w:r/>
            <w:r>
              <w:rPr>
                <w:sz w:val="17"/>
              </w:rPr>
              <w:t>231 h</w:t>
            </w:r>
          </w:p>
        </w:tc>
        <w:tc>
          <w:tcPr>
            <w:tcW w:type="dxa" w:w="2835"/>
          </w:tcPr>
          <w:p>
            <w:pPr>
              <w:spacing w:after="20"/>
            </w:pPr>
            <w:r/>
            <w:r>
              <w:rPr>
                <w:sz w:val="17"/>
              </w:rPr>
              <w:t>$924.00</w:t>
            </w:r>
          </w:p>
        </w:tc>
      </w:tr>
      <w:tr>
        <w:trPr>
          <w:cantSplit w:val="true"/>
        </w:trPr>
        <w:tc>
          <w:tcPr>
            <w:tcW w:type="dxa" w:w="6803"/>
            <w:shd w:val="clear" w:color="auto" w:fill="F7F0F2"/>
          </w:tcPr>
          <w:p>
            <w:pPr>
              <w:spacing w:after="20"/>
            </w:pPr>
            <w:r/>
            <w:r>
              <w:rPr>
                <w:sz w:val="17"/>
              </w:rPr>
              <w:t>Arquitecto de Software (Investigador de mercado y tecnología)</w:t>
            </w:r>
          </w:p>
        </w:tc>
        <w:tc>
          <w:tcPr>
            <w:tcW w:type="dxa" w:w="2835"/>
            <w:shd w:val="clear" w:color="auto" w:fill="F7F0F2"/>
          </w:tcPr>
          <w:p>
            <w:pPr>
              <w:spacing w:after="20"/>
            </w:pPr>
            <w:r/>
            <w:r>
              <w:rPr>
                <w:sz w:val="17"/>
              </w:rPr>
              <w:t>$5.00</w:t>
            </w:r>
          </w:p>
        </w:tc>
        <w:tc>
          <w:tcPr>
            <w:tcW w:type="dxa" w:w="2268"/>
            <w:shd w:val="clear" w:color="auto" w:fill="F7F0F2"/>
          </w:tcPr>
          <w:p>
            <w:pPr>
              <w:spacing w:after="20"/>
            </w:pPr>
            <w:r/>
            <w:r>
              <w:rPr>
                <w:sz w:val="17"/>
              </w:rPr>
              <w:t>264 h</w:t>
            </w:r>
          </w:p>
        </w:tc>
        <w:tc>
          <w:tcPr>
            <w:tcW w:type="dxa" w:w="2835"/>
            <w:shd w:val="clear" w:color="auto" w:fill="F7F0F2"/>
          </w:tcPr>
          <w:p>
            <w:pPr>
              <w:spacing w:after="20"/>
            </w:pPr>
            <w:r/>
            <w:r>
              <w:rPr>
                <w:sz w:val="17"/>
              </w:rPr>
              <w:t>$1,320.00</w:t>
            </w:r>
          </w:p>
        </w:tc>
      </w:tr>
      <w:tr>
        <w:trPr>
          <w:cantSplit w:val="true"/>
        </w:trPr>
        <w:tc>
          <w:tcPr>
            <w:tcW w:type="dxa" w:w="6803"/>
          </w:tcPr>
          <w:p>
            <w:pPr>
              <w:spacing w:after="20"/>
            </w:pPr>
            <w:r/>
            <w:r>
              <w:rPr>
                <w:sz w:val="17"/>
              </w:rPr>
              <w:t>Desarrollador (Integrador y calidad)</w:t>
            </w:r>
          </w:p>
        </w:tc>
        <w:tc>
          <w:tcPr>
            <w:tcW w:type="dxa" w:w="2835"/>
          </w:tcPr>
          <w:p>
            <w:pPr>
              <w:spacing w:after="20"/>
            </w:pPr>
            <w:r/>
            <w:r>
              <w:rPr>
                <w:sz w:val="17"/>
              </w:rPr>
              <w:t>$2.50</w:t>
            </w:r>
          </w:p>
        </w:tc>
        <w:tc>
          <w:tcPr>
            <w:tcW w:type="dxa" w:w="2268"/>
          </w:tcPr>
          <w:p>
            <w:pPr>
              <w:spacing w:after="20"/>
            </w:pPr>
            <w:r/>
            <w:r>
              <w:rPr>
                <w:sz w:val="17"/>
              </w:rPr>
              <w:t>223 h</w:t>
            </w:r>
          </w:p>
        </w:tc>
        <w:tc>
          <w:tcPr>
            <w:tcW w:type="dxa" w:w="2835"/>
          </w:tcPr>
          <w:p>
            <w:pPr>
              <w:spacing w:after="20"/>
            </w:pPr>
            <w:r/>
            <w:r>
              <w:rPr>
                <w:sz w:val="17"/>
              </w:rPr>
              <w:t>$557.50</w:t>
            </w:r>
          </w:p>
        </w:tc>
      </w:tr>
      <w:tr>
        <w:trPr>
          <w:cantSplit w:val="true"/>
        </w:trPr>
        <w:tc>
          <w:tcPr>
            <w:tcW w:type="dxa" w:w="6803"/>
            <w:shd w:val="clear" w:color="auto" w:fill="F7F0F2"/>
          </w:tcPr>
          <w:p>
            <w:pPr>
              <w:spacing w:after="20"/>
            </w:pPr>
            <w:r/>
            <w:r>
              <w:rPr>
                <w:b/>
                <w:sz w:val="17"/>
              </w:rPr>
              <w:t>Total</w:t>
            </w:r>
          </w:p>
        </w:tc>
        <w:tc>
          <w:tcPr>
            <w:tcW w:type="dxa" w:w="2835"/>
            <w:shd w:val="clear" w:color="auto" w:fill="F7F0F2"/>
          </w:tcPr>
          <w:p>
            <w:pPr>
              <w:spacing w:after="20"/>
            </w:pPr>
            <w:r/>
          </w:p>
        </w:tc>
        <w:tc>
          <w:tcPr>
            <w:tcW w:type="dxa" w:w="2268"/>
            <w:shd w:val="clear" w:color="auto" w:fill="F7F0F2"/>
          </w:tcPr>
          <w:p>
            <w:pPr>
              <w:spacing w:after="20"/>
            </w:pPr>
            <w:r/>
            <w:r>
              <w:rPr>
                <w:b/>
                <w:sz w:val="17"/>
              </w:rPr>
              <w:t>718 h</w:t>
            </w:r>
          </w:p>
        </w:tc>
        <w:tc>
          <w:tcPr>
            <w:tcW w:type="dxa" w:w="2835"/>
            <w:shd w:val="clear" w:color="auto" w:fill="F7F0F2"/>
          </w:tcPr>
          <w:p>
            <w:pPr>
              <w:spacing w:after="20"/>
            </w:pPr>
            <w:r/>
            <w:r>
              <w:rPr>
                <w:b/>
                <w:sz w:val="17"/>
              </w:rPr>
              <w:t>$2,801.50</w:t>
            </w:r>
          </w:p>
        </w:tc>
      </w:tr>
    </w:tbl>
    <w:p>
      <w:pPr>
        <w:spacing w:after="40"/>
      </w:pPr>
    </w:p>
    <w:p>
      <w:pPr>
        <w:jc w:val="both"/>
      </w:pPr>
      <w:r>
        <w:rPr>
          <w:b/>
          <w:sz w:val="19"/>
        </w:rPr>
        <w:t>Estas tarifas no están verificadas.</w:t>
      </w:r>
      <w:r>
        <w:rPr>
          <w:sz w:val="19"/>
        </w:rPr>
        <w:t xml:space="preserve"> Son las del documento SyncMinds (que dice haberlas basado en el tabulador CIV [14]). Mi búsqueda no encontró el tabulador CIV de 2025/2026 publicado; lo más reciente que apareció es de 2022–2023 (p. ej., un mínimo de ≈$650 mensuales para un ingeniero recién graduado en 2022, según Bloomberg Línea). Hay que conseguir el tabulador vigente en el CIV (o el comunicado de mayo 2026 que cita el equipo de Café, que lo expresa en bolívares: 2.102,81 Bs/h) y dividir el mínimo mensual entre las horas laborales. Ojo: el enunciado dice que el costo por hora y la factibilidad de RR.HH. deben valorarse "en función de su experiencia real"; justifíquenlo (estudiantes de 8.º–9.º semestre, sin experiencia profesional) al fijar la tarifa.</w:t>
      </w:r>
    </w:p>
    <w:p>
      <w:pPr>
        <w:pStyle w:val="Heading2"/>
      </w:pPr>
      <w:r>
        <w:t>5.2 Precios de las aplicaciones (referenciales, a confirmar con cada proveedor)</w:t>
      </w:r>
    </w:p>
    <w:tbl>
      <w:tblPr>
        <w:tblStyle w:val="TableGrid"/>
        <w:tblW w:type="auto" w:w="0"/>
        <w:jc w:val="center"/>
        <w:tblLayout w:type="fixed"/>
        <w:tblLook w:firstColumn="1" w:firstRow="1" w:lastColumn="0" w:lastRow="0" w:noHBand="0" w:noVBand="1" w:val="04A0"/>
      </w:tblPr>
      <w:tblGrid>
        <w:gridCol w:w="2338"/>
        <w:gridCol w:w="2338"/>
        <w:gridCol w:w="2338"/>
        <w:gridCol w:w="2338"/>
        <w:gridCol w:w="2338"/>
        <w:gridCol w:w="2338"/>
      </w:tblGrid>
      <w:tr>
        <w:trPr>
          <w:tblHeader w:val="true"/>
        </w:trPr>
        <w:tc>
          <w:tcPr>
            <w:tcW w:type="dxa" w:w="1814"/>
            <w:shd w:val="clear" w:color="auto" w:fill="7A1F3D"/>
          </w:tcPr>
          <w:p>
            <w:r/>
            <w:r>
              <w:rPr>
                <w:b/>
                <w:color w:val="FFFFFF"/>
                <w:sz w:val="16"/>
              </w:rPr>
              <w:t>App</w:t>
            </w:r>
          </w:p>
        </w:tc>
        <w:tc>
          <w:tcPr>
            <w:tcW w:type="dxa" w:w="1984"/>
            <w:shd w:val="clear" w:color="auto" w:fill="7A1F3D"/>
          </w:tcPr>
          <w:p>
            <w:r/>
            <w:r>
              <w:rPr>
                <w:b/>
                <w:color w:val="FFFFFF"/>
                <w:sz w:val="16"/>
              </w:rPr>
              <w:t>Plan de referencia</w:t>
            </w:r>
          </w:p>
        </w:tc>
        <w:tc>
          <w:tcPr>
            <w:tcW w:type="dxa" w:w="1984"/>
            <w:shd w:val="clear" w:color="auto" w:fill="7A1F3D"/>
          </w:tcPr>
          <w:p>
            <w:r/>
            <w:r>
              <w:rPr>
                <w:b/>
                <w:color w:val="FFFFFF"/>
                <w:sz w:val="16"/>
              </w:rPr>
              <w:t>USD/mes por usuario</w:t>
            </w:r>
          </w:p>
        </w:tc>
        <w:tc>
          <w:tcPr>
            <w:tcW w:type="dxa" w:w="1701"/>
            <w:shd w:val="clear" w:color="auto" w:fill="7A1F3D"/>
          </w:tcPr>
          <w:p>
            <w:r/>
            <w:r>
              <w:rPr>
                <w:b/>
                <w:color w:val="FFFFFF"/>
                <w:sz w:val="16"/>
              </w:rPr>
              <w:t>Prueba 3 meses (USD)</w:t>
            </w:r>
          </w:p>
        </w:tc>
        <w:tc>
          <w:tcPr>
            <w:tcW w:type="dxa" w:w="1701"/>
            <w:shd w:val="clear" w:color="auto" w:fill="7A1F3D"/>
          </w:tcPr>
          <w:p>
            <w:r/>
            <w:r>
              <w:rPr>
                <w:b/>
                <w:color w:val="FFFFFF"/>
                <w:sz w:val="16"/>
              </w:rPr>
              <w:t>USD/año por usuario</w:t>
            </w:r>
          </w:p>
        </w:tc>
        <w:tc>
          <w:tcPr>
            <w:tcW w:type="dxa" w:w="5556"/>
            <w:shd w:val="clear" w:color="auto" w:fill="7A1F3D"/>
          </w:tcPr>
          <w:p>
            <w:r/>
            <w:r>
              <w:rPr>
                <w:b/>
                <w:color w:val="FFFFFF"/>
                <w:sz w:val="16"/>
              </w:rPr>
              <w:t>Observación</w:t>
            </w:r>
          </w:p>
        </w:tc>
      </w:tr>
      <w:tr>
        <w:trPr>
          <w:cantSplit w:val="true"/>
        </w:trPr>
        <w:tc>
          <w:tcPr>
            <w:tcW w:type="dxa" w:w="1814"/>
          </w:tcPr>
          <w:p>
            <w:pPr>
              <w:spacing w:after="20"/>
            </w:pPr>
            <w:r/>
            <w:r>
              <w:rPr>
                <w:sz w:val="16"/>
              </w:rPr>
              <w:t>Spellbook</w:t>
            </w:r>
          </w:p>
        </w:tc>
        <w:tc>
          <w:tcPr>
            <w:tcW w:type="dxa" w:w="1984"/>
          </w:tcPr>
          <w:p>
            <w:pPr>
              <w:spacing w:after="20"/>
            </w:pPr>
            <w:r/>
            <w:r>
              <w:rPr>
                <w:sz w:val="16"/>
              </w:rPr>
              <w:t>Individual/equipo (estimado)</w:t>
            </w:r>
          </w:p>
        </w:tc>
        <w:tc>
          <w:tcPr>
            <w:tcW w:type="dxa" w:w="1984"/>
          </w:tcPr>
          <w:p>
            <w:pPr>
              <w:spacing w:after="20"/>
            </w:pPr>
            <w:r/>
            <w:r>
              <w:rPr>
                <w:sz w:val="16"/>
              </w:rPr>
              <w:t>$99.00</w:t>
            </w:r>
          </w:p>
        </w:tc>
        <w:tc>
          <w:tcPr>
            <w:tcW w:type="dxa" w:w="1701"/>
          </w:tcPr>
          <w:p>
            <w:pPr>
              <w:spacing w:after="20"/>
            </w:pPr>
            <w:r/>
            <w:r>
              <w:rPr>
                <w:sz w:val="16"/>
              </w:rPr>
              <w:t>$297.00</w:t>
            </w:r>
          </w:p>
        </w:tc>
        <w:tc>
          <w:tcPr>
            <w:tcW w:type="dxa" w:w="1701"/>
          </w:tcPr>
          <w:p>
            <w:pPr>
              <w:spacing w:after="20"/>
            </w:pPr>
            <w:r/>
            <w:r>
              <w:rPr>
                <w:sz w:val="16"/>
              </w:rPr>
              <w:t>$1,188.00</w:t>
            </w:r>
          </w:p>
        </w:tc>
        <w:tc>
          <w:tcPr>
            <w:tcW w:type="dxa" w:w="5556"/>
          </w:tcPr>
          <w:p>
            <w:pPr>
              <w:spacing w:after="20"/>
            </w:pPr>
            <w:r/>
            <w:r>
              <w:rPr>
                <w:sz w:val="16"/>
              </w:rPr>
              <w:t>Cifras contradictorias entre fuentes (≈$99–149 por usuario/mes; otra fuente: $20–40). Cotizar con el proveedor.</w:t>
            </w:r>
          </w:p>
        </w:tc>
      </w:tr>
      <w:tr>
        <w:trPr>
          <w:cantSplit w:val="true"/>
        </w:trPr>
        <w:tc>
          <w:tcPr>
            <w:tcW w:type="dxa" w:w="1814"/>
            <w:shd w:val="clear" w:color="auto" w:fill="F7F0F2"/>
          </w:tcPr>
          <w:p>
            <w:pPr>
              <w:spacing w:after="20"/>
            </w:pPr>
            <w:r/>
            <w:r>
              <w:rPr>
                <w:sz w:val="16"/>
              </w:rPr>
              <w:t>Gavel (Exec/Workflows)</w:t>
            </w:r>
          </w:p>
        </w:tc>
        <w:tc>
          <w:tcPr>
            <w:tcW w:type="dxa" w:w="1984"/>
            <w:shd w:val="clear" w:color="auto" w:fill="F7F0F2"/>
          </w:tcPr>
          <w:p>
            <w:pPr>
              <w:spacing w:after="20"/>
            </w:pPr>
            <w:r/>
            <w:r>
              <w:rPr>
                <w:sz w:val="16"/>
              </w:rPr>
              <w:t>Por usuario</w:t>
            </w:r>
          </w:p>
        </w:tc>
        <w:tc>
          <w:tcPr>
            <w:tcW w:type="dxa" w:w="1984"/>
            <w:shd w:val="clear" w:color="auto" w:fill="F7F0F2"/>
          </w:tcPr>
          <w:p>
            <w:pPr>
              <w:spacing w:after="20"/>
            </w:pPr>
            <w:r/>
            <w:r>
              <w:rPr>
                <w:sz w:val="16"/>
              </w:rPr>
              <w:t>$160.00</w:t>
            </w:r>
          </w:p>
        </w:tc>
        <w:tc>
          <w:tcPr>
            <w:tcW w:type="dxa" w:w="1701"/>
            <w:shd w:val="clear" w:color="auto" w:fill="F7F0F2"/>
          </w:tcPr>
          <w:p>
            <w:pPr>
              <w:spacing w:after="20"/>
            </w:pPr>
            <w:r/>
            <w:r>
              <w:rPr>
                <w:sz w:val="16"/>
              </w:rPr>
              <w:t>$480.00</w:t>
            </w:r>
          </w:p>
        </w:tc>
        <w:tc>
          <w:tcPr>
            <w:tcW w:type="dxa" w:w="1701"/>
            <w:shd w:val="clear" w:color="auto" w:fill="F7F0F2"/>
          </w:tcPr>
          <w:p>
            <w:pPr>
              <w:spacing w:after="20"/>
            </w:pPr>
            <w:r/>
            <w:r>
              <w:rPr>
                <w:sz w:val="16"/>
              </w:rPr>
              <w:t>$1,920.00</w:t>
            </w:r>
          </w:p>
        </w:tc>
        <w:tc>
          <w:tcPr>
            <w:tcW w:type="dxa" w:w="5556"/>
            <w:shd w:val="clear" w:color="auto" w:fill="F7F0F2"/>
          </w:tcPr>
          <w:p>
            <w:pPr>
              <w:spacing w:after="20"/>
            </w:pPr>
            <w:r/>
            <w:r>
              <w:rPr>
                <w:sz w:val="16"/>
              </w:rPr>
              <w:t>Cifra citada por páginas de comparación de un competidor; verificar.</w:t>
            </w:r>
          </w:p>
        </w:tc>
      </w:tr>
      <w:tr>
        <w:trPr>
          <w:cantSplit w:val="true"/>
        </w:trPr>
        <w:tc>
          <w:tcPr>
            <w:tcW w:type="dxa" w:w="1814"/>
          </w:tcPr>
          <w:p>
            <w:pPr>
              <w:spacing w:after="20"/>
            </w:pPr>
            <w:r/>
            <w:r>
              <w:rPr>
                <w:sz w:val="16"/>
              </w:rPr>
              <w:t>Reclaim.ai</w:t>
            </w:r>
          </w:p>
        </w:tc>
        <w:tc>
          <w:tcPr>
            <w:tcW w:type="dxa" w:w="1984"/>
          </w:tcPr>
          <w:p>
            <w:pPr>
              <w:spacing w:after="20"/>
            </w:pPr>
            <w:r/>
            <w:r>
              <w:rPr>
                <w:sz w:val="16"/>
              </w:rPr>
              <w:t>Starter</w:t>
            </w:r>
          </w:p>
        </w:tc>
        <w:tc>
          <w:tcPr>
            <w:tcW w:type="dxa" w:w="1984"/>
          </w:tcPr>
          <w:p>
            <w:pPr>
              <w:spacing w:after="20"/>
            </w:pPr>
            <w:r/>
            <w:r>
              <w:rPr>
                <w:sz w:val="16"/>
              </w:rPr>
              <w:t>$12.00 / anual $10.00</w:t>
            </w:r>
          </w:p>
        </w:tc>
        <w:tc>
          <w:tcPr>
            <w:tcW w:type="dxa" w:w="1701"/>
          </w:tcPr>
          <w:p>
            <w:pPr>
              <w:spacing w:after="20"/>
            </w:pPr>
            <w:r/>
            <w:r>
              <w:rPr>
                <w:sz w:val="16"/>
              </w:rPr>
              <w:t>$36.00</w:t>
            </w:r>
          </w:p>
        </w:tc>
        <w:tc>
          <w:tcPr>
            <w:tcW w:type="dxa" w:w="1701"/>
          </w:tcPr>
          <w:p>
            <w:pPr>
              <w:spacing w:after="20"/>
            </w:pPr>
            <w:r/>
            <w:r>
              <w:rPr>
                <w:sz w:val="16"/>
              </w:rPr>
              <w:t>$120.00</w:t>
            </w:r>
          </w:p>
        </w:tc>
        <w:tc>
          <w:tcPr>
            <w:tcW w:type="dxa" w:w="5556"/>
          </w:tcPr>
          <w:p>
            <w:pPr>
              <w:spacing w:after="20"/>
            </w:pPr>
            <w:r/>
            <w:r>
              <w:rPr>
                <w:sz w:val="16"/>
              </w:rPr>
              <w:t>Existe plan gratuito (Lite). Starter $10/mes anual o $12 mensual.</w:t>
            </w:r>
          </w:p>
        </w:tc>
      </w:tr>
      <w:tr>
        <w:trPr>
          <w:cantSplit w:val="true"/>
        </w:trPr>
        <w:tc>
          <w:tcPr>
            <w:tcW w:type="dxa" w:w="1814"/>
            <w:shd w:val="clear" w:color="auto" w:fill="F7F0F2"/>
          </w:tcPr>
          <w:p>
            <w:pPr>
              <w:spacing w:after="20"/>
            </w:pPr>
            <w:r/>
            <w:r>
              <w:rPr>
                <w:sz w:val="16"/>
              </w:rPr>
              <w:t>Motion</w:t>
            </w:r>
          </w:p>
        </w:tc>
        <w:tc>
          <w:tcPr>
            <w:tcW w:type="dxa" w:w="1984"/>
            <w:shd w:val="clear" w:color="auto" w:fill="F7F0F2"/>
          </w:tcPr>
          <w:p>
            <w:pPr>
              <w:spacing w:after="20"/>
            </w:pPr>
            <w:r/>
            <w:r>
              <w:rPr>
                <w:sz w:val="16"/>
              </w:rPr>
              <w:t>Pro AI</w:t>
            </w:r>
          </w:p>
        </w:tc>
        <w:tc>
          <w:tcPr>
            <w:tcW w:type="dxa" w:w="1984"/>
            <w:shd w:val="clear" w:color="auto" w:fill="F7F0F2"/>
          </w:tcPr>
          <w:p>
            <w:pPr>
              <w:spacing w:after="20"/>
            </w:pPr>
            <w:r/>
            <w:r>
              <w:rPr>
                <w:sz w:val="16"/>
              </w:rPr>
              <w:t>$19.00 / anual $12.73</w:t>
            </w:r>
          </w:p>
        </w:tc>
        <w:tc>
          <w:tcPr>
            <w:tcW w:type="dxa" w:w="1701"/>
            <w:shd w:val="clear" w:color="auto" w:fill="F7F0F2"/>
          </w:tcPr>
          <w:p>
            <w:pPr>
              <w:spacing w:after="20"/>
            </w:pPr>
            <w:r/>
            <w:r>
              <w:rPr>
                <w:sz w:val="16"/>
              </w:rPr>
              <w:t>$57.00</w:t>
            </w:r>
          </w:p>
        </w:tc>
        <w:tc>
          <w:tcPr>
            <w:tcW w:type="dxa" w:w="1701"/>
            <w:shd w:val="clear" w:color="auto" w:fill="F7F0F2"/>
          </w:tcPr>
          <w:p>
            <w:pPr>
              <w:spacing w:after="20"/>
            </w:pPr>
            <w:r/>
            <w:r>
              <w:rPr>
                <w:sz w:val="16"/>
              </w:rPr>
              <w:t>$152.76</w:t>
            </w:r>
          </w:p>
        </w:tc>
        <w:tc>
          <w:tcPr>
            <w:tcW w:type="dxa" w:w="5556"/>
            <w:shd w:val="clear" w:color="auto" w:fill="F7F0F2"/>
          </w:tcPr>
          <w:p>
            <w:pPr>
              <w:spacing w:after="20"/>
            </w:pPr>
            <w:r/>
            <w:r>
              <w:rPr>
                <w:sz w:val="16"/>
              </w:rPr>
              <w:t>Sin plan gratuito; solo prueba de 7 días. $12.73/mes anual o $19 mensual.</w:t>
            </w:r>
          </w:p>
        </w:tc>
      </w:tr>
    </w:tbl>
    <w:p>
      <w:pPr>
        <w:spacing w:after="40"/>
      </w:pPr>
    </w:p>
    <w:p>
      <w:r>
        <w:rPr>
          <w:b/>
          <w:sz w:val="19"/>
        </w:rPr>
        <w:t>Fase de Desarrollo:</w:t>
      </w:r>
      <w:r>
        <w:rPr>
          <w:sz w:val="19"/>
        </w:rPr>
        <w:t xml:space="preserve"> $2,801.50 (horas) + $870.00 (suscripciones) = </w:t>
      </w:r>
      <w:r>
        <w:rPr>
          <w:b/>
          <w:sz w:val="19"/>
        </w:rPr>
        <w:t>$3,671.50</w:t>
      </w:r>
      <w:r>
        <w:rPr>
          <w:sz w:val="19"/>
        </w:rPr>
        <w:t xml:space="preserve">.  </w:t>
      </w:r>
      <w:r>
        <w:rPr>
          <w:b/>
          <w:sz w:val="19"/>
        </w:rPr>
        <w:t>Mantenimiento por usuario y año:</w:t>
      </w:r>
      <w:r>
        <w:rPr>
          <w:sz w:val="19"/>
        </w:rPr>
        <w:t xml:space="preserve"> de $1,308.00 a $2,072.76 según la combinación.</w:t>
      </w:r>
    </w:p>
    <w:p>
      <w:pPr>
        <w:jc w:val="both"/>
      </w:pPr>
      <w:r>
        <w:rPr>
          <w:b/>
          <w:sz w:val="19"/>
        </w:rPr>
        <w:t>Cómo se obtuvieron los precios:</w:t>
      </w:r>
      <w:r>
        <w:rPr>
          <w:sz w:val="19"/>
        </w:rPr>
        <w:t xml:space="preserve"> búsquedas web (octubre de 2026). Las cifras de Spellbook se contradicen entre fuentes, y las de Gavel proceden de páginas de comparación escritas por un competidor. Los precios de Reclaim.ai, Motion y Notion coinciden en varias fuentes pero deben verificarse en las páginas oficiales. </w:t>
      </w:r>
      <w:r>
        <w:rPr>
          <w:b/>
          <w:sz w:val="19"/>
        </w:rPr>
        <w:t>Sustituir por una cotización o captura del plan oficial y citarlo como referencia.</w:t>
      </w:r>
      <w:r>
        <w:rPr>
          <w:sz w:val="19"/>
        </w:rPr>
        <w:t xml:space="preserve"> Una alternativa válida para el mantenimiento es mostrar la prueba gratuita o los planes educativos y explicar el costo al cliente piloto (los estudiantes) como costo cero o descontado.</w:t>
      </w:r>
    </w:p>
    <w:p>
      <w:r>
        <w:br w:type="page"/>
      </w:r>
    </w:p>
    <w:p>
      <w:pPr>
        <w:pStyle w:val="Heading1"/>
      </w:pPr>
      <w:r>
        <w:t>6. Apps y herramientas que podemos usar (todas distintas a las ya tomadas por otros equipos)</w:t>
      </w:r>
    </w:p>
    <w:p>
      <w:pPr>
        <w:jc w:val="both"/>
      </w:pPr>
      <w:r>
        <w:rPr>
          <w:sz w:val="19"/>
        </w:rPr>
        <w:t xml:space="preserve">Excluidas por la profesora (15/10): </w:t>
      </w:r>
      <w:r>
        <w:rPr>
          <w:b/>
          <w:sz w:val="19"/>
        </w:rPr>
        <w:t>Abuscos, Lexios Venezuela, Open Contacts</w:t>
      </w:r>
      <w:r>
        <w:rPr>
          <w:sz w:val="19"/>
        </w:rPr>
        <w:t xml:space="preserve"> (especializadas); </w:t>
      </w:r>
      <w:r>
        <w:rPr>
          <w:b/>
          <w:sz w:val="19"/>
        </w:rPr>
        <w:t>Obsidian, Google Workspace, Clio, Jira, ClickUp, Zoho</w:t>
      </w:r>
      <w:r>
        <w:rPr>
          <w:sz w:val="19"/>
        </w:rPr>
        <w:t xml:space="preserve"> (generales). Esa lista puede haber crecido desde el 15/10: confirmen antes de comprometer su elección. Requisitos del enunciado: soluciones comerciales disponibles; la especializada debe incorporar </w:t>
      </w:r>
      <w:r>
        <w:rPr>
          <w:b/>
          <w:sz w:val="19"/>
        </w:rPr>
        <w:t>IA jurídica</w:t>
      </w:r>
      <w:r>
        <w:rPr>
          <w:sz w:val="19"/>
        </w:rPr>
        <w:t xml:space="preserve">; el conjunto debe integrarse en un flujo de valor; se valora la </w:t>
      </w:r>
      <w:r>
        <w:rPr>
          <w:b/>
          <w:sz w:val="19"/>
        </w:rPr>
        <w:t>menor cantidad de proveedores</w:t>
      </w:r>
      <w:r>
        <w:rPr>
          <w:sz w:val="19"/>
        </w:rPr>
        <w:t>.</w:t>
      </w:r>
    </w:p>
    <w:p>
      <w:pPr>
        <w:pStyle w:val="Heading2"/>
      </w:pPr>
      <w:r>
        <w:t>6.1 Aplicación especializada (IA jurídica) — apoya la actividad primaria</w:t>
      </w:r>
    </w:p>
    <w:tbl>
      <w:tblPr>
        <w:tblStyle w:val="TableGrid"/>
        <w:tblW w:type="auto" w:w="0"/>
        <w:jc w:val="center"/>
        <w:tblLayout w:type="fixed"/>
        <w:tblLook w:firstColumn="1" w:firstRow="1" w:lastColumn="0" w:lastRow="0" w:noHBand="0" w:noVBand="1" w:val="04A0"/>
      </w:tblPr>
      <w:tblGrid>
        <w:gridCol w:w="2805"/>
        <w:gridCol w:w="2805"/>
        <w:gridCol w:w="2805"/>
        <w:gridCol w:w="2805"/>
        <w:gridCol w:w="2805"/>
      </w:tblGrid>
      <w:tr>
        <w:trPr>
          <w:tblHeader w:val="true"/>
        </w:trPr>
        <w:tc>
          <w:tcPr>
            <w:tcW w:type="dxa" w:w="2041"/>
            <w:shd w:val="clear" w:color="auto" w:fill="7A1F3D"/>
          </w:tcPr>
          <w:p>
            <w:r/>
            <w:r>
              <w:rPr>
                <w:b/>
                <w:color w:val="FFFFFF"/>
                <w:sz w:val="16"/>
              </w:rPr>
              <w:t>App</w:t>
            </w:r>
          </w:p>
        </w:tc>
        <w:tc>
          <w:tcPr>
            <w:tcW w:type="dxa" w:w="4535"/>
            <w:shd w:val="clear" w:color="auto" w:fill="7A1F3D"/>
          </w:tcPr>
          <w:p>
            <w:r/>
            <w:r>
              <w:rPr>
                <w:b/>
                <w:color w:val="FFFFFF"/>
                <w:sz w:val="16"/>
              </w:rPr>
              <w:t>Qué aporta a nuestro flujo</w:t>
            </w:r>
          </w:p>
        </w:tc>
        <w:tc>
          <w:tcPr>
            <w:tcW w:type="dxa" w:w="3685"/>
            <w:shd w:val="clear" w:color="auto" w:fill="7A1F3D"/>
          </w:tcPr>
          <w:p>
            <w:r/>
            <w:r>
              <w:rPr>
                <w:b/>
                <w:color w:val="FFFFFF"/>
                <w:sz w:val="16"/>
              </w:rPr>
              <w:t>Riesgos / a verificar</w:t>
            </w:r>
          </w:p>
        </w:tc>
        <w:tc>
          <w:tcPr>
            <w:tcW w:type="dxa" w:w="2494"/>
            <w:shd w:val="clear" w:color="auto" w:fill="7A1F3D"/>
          </w:tcPr>
          <w:p>
            <w:r/>
            <w:r>
              <w:rPr>
                <w:b/>
                <w:color w:val="FFFFFF"/>
                <w:sz w:val="16"/>
              </w:rPr>
              <w:t>Precio referencial</w:t>
            </w:r>
          </w:p>
        </w:tc>
        <w:tc>
          <w:tcPr>
            <w:tcW w:type="dxa" w:w="1984"/>
            <w:shd w:val="clear" w:color="auto" w:fill="7A1F3D"/>
          </w:tcPr>
          <w:p>
            <w:r/>
            <w:r>
              <w:rPr>
                <w:b/>
                <w:color w:val="FFFFFF"/>
                <w:sz w:val="16"/>
              </w:rPr>
              <w:t>Recomendación</w:t>
            </w:r>
          </w:p>
        </w:tc>
      </w:tr>
      <w:tr>
        <w:trPr>
          <w:cantSplit w:val="true"/>
        </w:trPr>
        <w:tc>
          <w:tcPr>
            <w:tcW w:type="dxa" w:w="2041"/>
          </w:tcPr>
          <w:p>
            <w:pPr>
              <w:spacing w:after="20"/>
            </w:pPr>
            <w:r/>
            <w:r>
              <w:rPr>
                <w:b/>
                <w:sz w:val="16"/>
              </w:rPr>
              <w:t>Spellbook</w:t>
            </w:r>
          </w:p>
        </w:tc>
        <w:tc>
          <w:tcPr>
            <w:tcW w:type="dxa" w:w="4535"/>
          </w:tcPr>
          <w:p>
            <w:pPr>
              <w:spacing w:after="20"/>
            </w:pPr>
            <w:r/>
            <w:r>
              <w:rPr>
                <w:sz w:val="16"/>
              </w:rPr>
              <w:t>Asistente de IA dentro de Word: redacta y revisa contratos con biblioteca de cláusulas. Encaja con "armar contratos con bloques".</w:t>
            </w:r>
          </w:p>
        </w:tc>
        <w:tc>
          <w:tcPr>
            <w:tcW w:type="dxa" w:w="3685"/>
          </w:tcPr>
          <w:p>
            <w:pPr>
              <w:spacing w:after="20"/>
            </w:pPr>
            <w:r/>
            <w:r>
              <w:rPr>
                <w:sz w:val="16"/>
              </w:rPr>
              <w:t>Cobertura de español y derecho civil; plan para estudiantes; contrato mínimo en planes empresariales.</w:t>
            </w:r>
          </w:p>
        </w:tc>
        <w:tc>
          <w:tcPr>
            <w:tcW w:type="dxa" w:w="2494"/>
          </w:tcPr>
          <w:p>
            <w:pPr>
              <w:spacing w:after="20"/>
            </w:pPr>
            <w:r/>
            <w:r>
              <w:rPr>
                <w:sz w:val="16"/>
              </w:rPr>
              <w:t>≈ $99–149 por usuario/mes (fuentes contradictorias)</w:t>
            </w:r>
          </w:p>
        </w:tc>
        <w:tc>
          <w:tcPr>
            <w:tcW w:type="dxa" w:w="1984"/>
          </w:tcPr>
          <w:p>
            <w:pPr>
              <w:spacing w:after="20"/>
            </w:pPr>
            <w:r/>
            <w:r>
              <w:rPr>
                <w:b/>
                <w:sz w:val="16"/>
              </w:rPr>
              <w:t>Candidata 1</w:t>
            </w:r>
          </w:p>
        </w:tc>
      </w:tr>
      <w:tr>
        <w:trPr>
          <w:cantSplit w:val="true"/>
        </w:trPr>
        <w:tc>
          <w:tcPr>
            <w:tcW w:type="dxa" w:w="2041"/>
            <w:shd w:val="clear" w:color="auto" w:fill="F7F0F2"/>
          </w:tcPr>
          <w:p>
            <w:pPr>
              <w:spacing w:after="20"/>
            </w:pPr>
            <w:r/>
            <w:r>
              <w:rPr>
                <w:b/>
                <w:sz w:val="16"/>
              </w:rPr>
              <w:t>Gavel (Exec / Workflows)</w:t>
            </w:r>
          </w:p>
        </w:tc>
        <w:tc>
          <w:tcPr>
            <w:tcW w:type="dxa" w:w="4535"/>
            <w:shd w:val="clear" w:color="auto" w:fill="F7F0F2"/>
          </w:tcPr>
          <w:p>
            <w:pPr>
              <w:spacing w:after="20"/>
            </w:pPr>
            <w:r/>
            <w:r>
              <w:rPr>
                <w:sz w:val="16"/>
              </w:rPr>
              <w:t>Automatización de documentos por flujos y plantillas de cláusulas, más asistente de IA en Word.</w:t>
            </w:r>
          </w:p>
        </w:tc>
        <w:tc>
          <w:tcPr>
            <w:tcW w:type="dxa" w:w="3685"/>
            <w:shd w:val="clear" w:color="auto" w:fill="F7F0F2"/>
          </w:tcPr>
          <w:p>
            <w:pPr>
              <w:spacing w:after="20"/>
            </w:pPr>
            <w:r/>
            <w:r>
              <w:rPr>
                <w:sz w:val="16"/>
              </w:rPr>
              <w:t>Orientada a mercado angloparlante; precio alto por usuario.</w:t>
            </w:r>
          </w:p>
        </w:tc>
        <w:tc>
          <w:tcPr>
            <w:tcW w:type="dxa" w:w="2494"/>
            <w:shd w:val="clear" w:color="auto" w:fill="F7F0F2"/>
          </w:tcPr>
          <w:p>
            <w:pPr>
              <w:spacing w:after="20"/>
            </w:pPr>
            <w:r/>
            <w:r>
              <w:rPr>
                <w:sz w:val="16"/>
              </w:rPr>
              <w:t>≈ $160 por usuario/mes (a verificar)</w:t>
            </w:r>
          </w:p>
        </w:tc>
        <w:tc>
          <w:tcPr>
            <w:tcW w:type="dxa" w:w="1984"/>
            <w:shd w:val="clear" w:color="auto" w:fill="F7F0F2"/>
          </w:tcPr>
          <w:p>
            <w:pPr>
              <w:spacing w:after="20"/>
            </w:pPr>
            <w:r/>
            <w:r>
              <w:rPr>
                <w:b/>
                <w:sz w:val="16"/>
              </w:rPr>
              <w:t>Candidata 2</w:t>
            </w:r>
          </w:p>
        </w:tc>
      </w:tr>
      <w:tr>
        <w:trPr>
          <w:cantSplit w:val="true"/>
        </w:trPr>
        <w:tc>
          <w:tcPr>
            <w:tcW w:type="dxa" w:w="2041"/>
          </w:tcPr>
          <w:p>
            <w:pPr>
              <w:spacing w:after="20"/>
            </w:pPr>
            <w:r/>
            <w:r>
              <w:rPr>
                <w:sz w:val="16"/>
              </w:rPr>
              <w:t>Juro</w:t>
            </w:r>
          </w:p>
        </w:tc>
        <w:tc>
          <w:tcPr>
            <w:tcW w:type="dxa" w:w="4535"/>
          </w:tcPr>
          <w:p>
            <w:pPr>
              <w:spacing w:after="20"/>
            </w:pPr>
            <w:r/>
            <w:r>
              <w:rPr>
                <w:sz w:val="16"/>
              </w:rPr>
              <w:t>Gestión del ciclo de vida de contratos con plantillas y colaboración.</w:t>
            </w:r>
          </w:p>
        </w:tc>
        <w:tc>
          <w:tcPr>
            <w:tcW w:type="dxa" w:w="3685"/>
          </w:tcPr>
          <w:p>
            <w:pPr>
              <w:spacing w:after="20"/>
            </w:pPr>
            <w:r/>
            <w:r>
              <w:rPr>
                <w:sz w:val="16"/>
              </w:rPr>
              <w:t>Más corporativa; no hallé precio público.</w:t>
            </w:r>
          </w:p>
        </w:tc>
        <w:tc>
          <w:tcPr>
            <w:tcW w:type="dxa" w:w="2494"/>
          </w:tcPr>
          <w:p>
            <w:pPr>
              <w:spacing w:after="20"/>
            </w:pPr>
            <w:r/>
            <w:r>
              <w:rPr>
                <w:sz w:val="16"/>
              </w:rPr>
              <w:t>Cotizar</w:t>
            </w:r>
          </w:p>
        </w:tc>
        <w:tc>
          <w:tcPr>
            <w:tcW w:type="dxa" w:w="1984"/>
          </w:tcPr>
          <w:p>
            <w:pPr>
              <w:spacing w:after="20"/>
            </w:pPr>
            <w:r/>
            <w:r>
              <w:rPr>
                <w:sz w:val="16"/>
              </w:rPr>
              <w:t>Alterna</w:t>
            </w:r>
          </w:p>
        </w:tc>
      </w:tr>
      <w:tr>
        <w:trPr>
          <w:cantSplit w:val="true"/>
        </w:trPr>
        <w:tc>
          <w:tcPr>
            <w:tcW w:type="dxa" w:w="2041"/>
            <w:shd w:val="clear" w:color="auto" w:fill="F7F0F2"/>
          </w:tcPr>
          <w:p>
            <w:pPr>
              <w:spacing w:after="20"/>
            </w:pPr>
            <w:r/>
            <w:r>
              <w:rPr>
                <w:sz w:val="16"/>
              </w:rPr>
              <w:t>vLex Vincent AI</w:t>
            </w:r>
          </w:p>
        </w:tc>
        <w:tc>
          <w:tcPr>
            <w:tcW w:type="dxa" w:w="4535"/>
            <w:shd w:val="clear" w:color="auto" w:fill="F7F0F2"/>
          </w:tcPr>
          <w:p>
            <w:pPr>
              <w:spacing w:after="20"/>
            </w:pPr>
            <w:r/>
            <w:r>
              <w:rPr>
                <w:sz w:val="16"/>
              </w:rPr>
              <w:t>Investigación jurídica asistida por IA (jurisprudencia y legislación) en español e inglés; cobertura de varios países latinoamericanos. Sirve para el problema de jurisprudencia.</w:t>
            </w:r>
          </w:p>
        </w:tc>
        <w:tc>
          <w:tcPr>
            <w:tcW w:type="dxa" w:w="3685"/>
            <w:shd w:val="clear" w:color="auto" w:fill="F7F0F2"/>
          </w:tcPr>
          <w:p>
            <w:pPr>
              <w:spacing w:after="20"/>
            </w:pPr>
            <w:r/>
            <w:r>
              <w:rPr>
                <w:sz w:val="16"/>
              </w:rPr>
              <w:t>No verifiqué si cubre Venezuela; ofrece prueba gratuita.</w:t>
            </w:r>
          </w:p>
        </w:tc>
        <w:tc>
          <w:tcPr>
            <w:tcW w:type="dxa" w:w="2494"/>
            <w:shd w:val="clear" w:color="auto" w:fill="F7F0F2"/>
          </w:tcPr>
          <w:p>
            <w:pPr>
              <w:spacing w:after="20"/>
            </w:pPr>
            <w:r/>
            <w:r>
              <w:rPr>
                <w:sz w:val="16"/>
              </w:rPr>
              <w:t>Cotizar</w:t>
            </w:r>
          </w:p>
        </w:tc>
        <w:tc>
          <w:tcPr>
            <w:tcW w:type="dxa" w:w="1984"/>
            <w:shd w:val="clear" w:color="auto" w:fill="F7F0F2"/>
          </w:tcPr>
          <w:p>
            <w:pPr>
              <w:spacing w:after="20"/>
            </w:pPr>
            <w:r/>
            <w:r>
              <w:rPr>
                <w:sz w:val="16"/>
              </w:rPr>
              <w:t>Alterna (investigación)</w:t>
            </w:r>
          </w:p>
        </w:tc>
      </w:tr>
      <w:tr>
        <w:trPr>
          <w:cantSplit w:val="true"/>
        </w:trPr>
        <w:tc>
          <w:tcPr>
            <w:tcW w:type="dxa" w:w="2041"/>
          </w:tcPr>
          <w:p>
            <w:pPr>
              <w:spacing w:after="20"/>
            </w:pPr>
            <w:r/>
            <w:r>
              <w:rPr>
                <w:sz w:val="16"/>
              </w:rPr>
              <w:t>Lexis+ AI / CoCounsel</w:t>
            </w:r>
          </w:p>
        </w:tc>
        <w:tc>
          <w:tcPr>
            <w:tcW w:type="dxa" w:w="4535"/>
          </w:tcPr>
          <w:p>
            <w:pPr>
              <w:spacing w:after="20"/>
            </w:pPr>
            <w:r/>
            <w:r>
              <w:rPr>
                <w:sz w:val="16"/>
              </w:rPr>
              <w:t>Investigación y redacción con IA de grandes editoriales jurídicas.</w:t>
            </w:r>
          </w:p>
        </w:tc>
        <w:tc>
          <w:tcPr>
            <w:tcW w:type="dxa" w:w="3685"/>
          </w:tcPr>
          <w:p>
            <w:pPr>
              <w:spacing w:after="20"/>
            </w:pPr>
            <w:r/>
            <w:r>
              <w:rPr>
                <w:sz w:val="16"/>
              </w:rPr>
              <w:t>Enfoque anglosajón; costo alto. No verifiqué su disponibilidad en Venezuela.</w:t>
            </w:r>
          </w:p>
        </w:tc>
        <w:tc>
          <w:tcPr>
            <w:tcW w:type="dxa" w:w="2494"/>
          </w:tcPr>
          <w:p>
            <w:pPr>
              <w:spacing w:after="20"/>
            </w:pPr>
            <w:r/>
            <w:r>
              <w:rPr>
                <w:sz w:val="16"/>
              </w:rPr>
              <w:t>Cotizar</w:t>
            </w:r>
          </w:p>
        </w:tc>
        <w:tc>
          <w:tcPr>
            <w:tcW w:type="dxa" w:w="1984"/>
          </w:tcPr>
          <w:p>
            <w:pPr>
              <w:spacing w:after="20"/>
            </w:pPr>
            <w:r/>
            <w:r>
              <w:rPr>
                <w:sz w:val="16"/>
              </w:rPr>
              <w:t>Alterna</w:t>
            </w:r>
          </w:p>
        </w:tc>
      </w:tr>
      <w:tr>
        <w:trPr>
          <w:cantSplit w:val="true"/>
        </w:trPr>
        <w:tc>
          <w:tcPr>
            <w:tcW w:type="dxa" w:w="2041"/>
            <w:shd w:val="clear" w:color="auto" w:fill="F7F0F2"/>
          </w:tcPr>
          <w:p>
            <w:pPr>
              <w:spacing w:after="20"/>
            </w:pPr>
            <w:r/>
            <w:r>
              <w:rPr>
                <w:sz w:val="16"/>
              </w:rPr>
              <w:t>Luminance, Robin AI, Henchman, Definely, Paxton, Legalfly</w:t>
            </w:r>
          </w:p>
        </w:tc>
        <w:tc>
          <w:tcPr>
            <w:tcW w:type="dxa" w:w="4535"/>
            <w:shd w:val="clear" w:color="auto" w:fill="F7F0F2"/>
          </w:tcPr>
          <w:p>
            <w:pPr>
              <w:spacing w:after="20"/>
            </w:pPr>
            <w:r/>
            <w:r>
              <w:rPr>
                <w:sz w:val="16"/>
              </w:rPr>
              <w:t>Revisión/redacción de contratos con IA, con distintos énfasis.</w:t>
            </w:r>
          </w:p>
        </w:tc>
        <w:tc>
          <w:tcPr>
            <w:tcW w:type="dxa" w:w="3685"/>
            <w:shd w:val="clear" w:color="auto" w:fill="F7F0F2"/>
          </w:tcPr>
          <w:p>
            <w:pPr>
              <w:spacing w:after="20"/>
            </w:pPr>
            <w:r/>
            <w:r>
              <w:rPr>
                <w:sz w:val="16"/>
              </w:rPr>
              <w:t>Pensadas para empresas; no verificadas por mí.</w:t>
            </w:r>
          </w:p>
        </w:tc>
        <w:tc>
          <w:tcPr>
            <w:tcW w:type="dxa" w:w="2494"/>
            <w:shd w:val="clear" w:color="auto" w:fill="F7F0F2"/>
          </w:tcPr>
          <w:p>
            <w:pPr>
              <w:spacing w:after="20"/>
            </w:pPr>
            <w:r/>
            <w:r>
              <w:rPr>
                <w:sz w:val="16"/>
              </w:rPr>
              <w:t>Cotizar</w:t>
            </w:r>
          </w:p>
        </w:tc>
        <w:tc>
          <w:tcPr>
            <w:tcW w:type="dxa" w:w="1984"/>
            <w:shd w:val="clear" w:color="auto" w:fill="F7F0F2"/>
          </w:tcPr>
          <w:p>
            <w:pPr>
              <w:spacing w:after="20"/>
            </w:pPr>
            <w:r/>
            <w:r>
              <w:rPr>
                <w:sz w:val="16"/>
              </w:rPr>
              <w:t>Alterna (investigar)</w:t>
            </w:r>
          </w:p>
        </w:tc>
      </w:tr>
      <w:tr>
        <w:trPr>
          <w:cantSplit w:val="true"/>
        </w:trPr>
        <w:tc>
          <w:tcPr>
            <w:tcW w:type="dxa" w:w="2041"/>
          </w:tcPr>
          <w:p>
            <w:pPr>
              <w:spacing w:after="20"/>
            </w:pPr>
            <w:r/>
            <w:r>
              <w:rPr>
                <w:sz w:val="16"/>
              </w:rPr>
              <w:t>Harvey</w:t>
            </w:r>
          </w:p>
        </w:tc>
        <w:tc>
          <w:tcPr>
            <w:tcW w:type="dxa" w:w="4535"/>
          </w:tcPr>
          <w:p>
            <w:pPr>
              <w:spacing w:after="20"/>
            </w:pPr>
            <w:r/>
            <w:r>
              <w:rPr>
                <w:sz w:val="16"/>
              </w:rPr>
              <w:t>Plataforma de IA para grandes firmas.</w:t>
            </w:r>
          </w:p>
        </w:tc>
        <w:tc>
          <w:tcPr>
            <w:tcW w:type="dxa" w:w="3685"/>
          </w:tcPr>
          <w:p>
            <w:pPr>
              <w:spacing w:after="20"/>
            </w:pPr>
            <w:r/>
            <w:r>
              <w:rPr>
                <w:sz w:val="16"/>
              </w:rPr>
              <w:t>Acceso empresarial; poco viable para estudiantes.</w:t>
            </w:r>
          </w:p>
        </w:tc>
        <w:tc>
          <w:tcPr>
            <w:tcW w:type="dxa" w:w="2494"/>
          </w:tcPr>
          <w:p>
            <w:pPr>
              <w:spacing w:after="20"/>
            </w:pPr>
            <w:r/>
            <w:r>
              <w:rPr>
                <w:sz w:val="16"/>
              </w:rPr>
              <w:t>No público</w:t>
            </w:r>
          </w:p>
        </w:tc>
        <w:tc>
          <w:tcPr>
            <w:tcW w:type="dxa" w:w="1984"/>
          </w:tcPr>
          <w:p>
            <w:pPr>
              <w:spacing w:after="20"/>
            </w:pPr>
            <w:r/>
            <w:r>
              <w:rPr>
                <w:sz w:val="16"/>
              </w:rPr>
              <w:t>Descartar</w:t>
            </w:r>
          </w:p>
        </w:tc>
      </w:tr>
    </w:tbl>
    <w:p>
      <w:pPr>
        <w:spacing w:after="40"/>
      </w:pPr>
    </w:p>
    <w:p>
      <w:pPr>
        <w:pStyle w:val="Heading2"/>
      </w:pPr>
      <w:r>
        <w:t>6.2 Aplicación general — apoya actividades administrativas y de apoyo</w:t>
      </w:r>
    </w:p>
    <w:tbl>
      <w:tblPr>
        <w:tblStyle w:val="TableGrid"/>
        <w:tblW w:type="auto" w:w="0"/>
        <w:jc w:val="center"/>
        <w:tblLayout w:type="fixed"/>
        <w:tblLook w:firstColumn="1" w:firstRow="1" w:lastColumn="0" w:lastRow="0" w:noHBand="0" w:noVBand="1" w:val="04A0"/>
      </w:tblPr>
      <w:tblGrid>
        <w:gridCol w:w="2805"/>
        <w:gridCol w:w="2805"/>
        <w:gridCol w:w="2805"/>
        <w:gridCol w:w="2805"/>
        <w:gridCol w:w="2805"/>
      </w:tblGrid>
      <w:tr>
        <w:trPr>
          <w:tblHeader w:val="true"/>
        </w:trPr>
        <w:tc>
          <w:tcPr>
            <w:tcW w:type="dxa" w:w="2041"/>
            <w:shd w:val="clear" w:color="auto" w:fill="7A1F3D"/>
          </w:tcPr>
          <w:p>
            <w:r/>
            <w:r>
              <w:rPr>
                <w:b/>
                <w:color w:val="FFFFFF"/>
                <w:sz w:val="16"/>
              </w:rPr>
              <w:t>App</w:t>
            </w:r>
          </w:p>
        </w:tc>
        <w:tc>
          <w:tcPr>
            <w:tcW w:type="dxa" w:w="4535"/>
            <w:shd w:val="clear" w:color="auto" w:fill="7A1F3D"/>
          </w:tcPr>
          <w:p>
            <w:r/>
            <w:r>
              <w:rPr>
                <w:b/>
                <w:color w:val="FFFFFF"/>
                <w:sz w:val="16"/>
              </w:rPr>
              <w:t>Qué aporta a nuestro flujo</w:t>
            </w:r>
          </w:p>
        </w:tc>
        <w:tc>
          <w:tcPr>
            <w:tcW w:type="dxa" w:w="3685"/>
            <w:shd w:val="clear" w:color="auto" w:fill="7A1F3D"/>
          </w:tcPr>
          <w:p>
            <w:r/>
            <w:r>
              <w:rPr>
                <w:b/>
                <w:color w:val="FFFFFF"/>
                <w:sz w:val="16"/>
              </w:rPr>
              <w:t>Riesgos / a verificar</w:t>
            </w:r>
          </w:p>
        </w:tc>
        <w:tc>
          <w:tcPr>
            <w:tcW w:type="dxa" w:w="2494"/>
            <w:shd w:val="clear" w:color="auto" w:fill="7A1F3D"/>
          </w:tcPr>
          <w:p>
            <w:r/>
            <w:r>
              <w:rPr>
                <w:b/>
                <w:color w:val="FFFFFF"/>
                <w:sz w:val="16"/>
              </w:rPr>
              <w:t>Precio referencial</w:t>
            </w:r>
          </w:p>
        </w:tc>
        <w:tc>
          <w:tcPr>
            <w:tcW w:type="dxa" w:w="1984"/>
            <w:shd w:val="clear" w:color="auto" w:fill="7A1F3D"/>
          </w:tcPr>
          <w:p>
            <w:r/>
            <w:r>
              <w:rPr>
                <w:b/>
                <w:color w:val="FFFFFF"/>
                <w:sz w:val="16"/>
              </w:rPr>
              <w:t>Recomendación</w:t>
            </w:r>
          </w:p>
        </w:tc>
      </w:tr>
      <w:tr>
        <w:trPr>
          <w:cantSplit w:val="true"/>
        </w:trPr>
        <w:tc>
          <w:tcPr>
            <w:tcW w:type="dxa" w:w="2041"/>
          </w:tcPr>
          <w:p>
            <w:pPr>
              <w:spacing w:after="20"/>
            </w:pPr>
            <w:r/>
            <w:r>
              <w:rPr>
                <w:b/>
                <w:sz w:val="16"/>
              </w:rPr>
              <w:t>Reclaim.ai</w:t>
            </w:r>
          </w:p>
        </w:tc>
        <w:tc>
          <w:tcPr>
            <w:tcW w:type="dxa" w:w="4535"/>
          </w:tcPr>
          <w:p>
            <w:pPr>
              <w:spacing w:after="20"/>
            </w:pPr>
            <w:r/>
            <w:r>
              <w:rPr>
                <w:sz w:val="16"/>
              </w:rPr>
              <w:t>Planificador con IA que sincroniza calendarios y reserva bloques para tareas y hábitos: ataca el conflicto de las tres agendas.</w:t>
            </w:r>
          </w:p>
        </w:tc>
        <w:tc>
          <w:tcPr>
            <w:tcW w:type="dxa" w:w="3685"/>
          </w:tcPr>
          <w:p>
            <w:pPr>
              <w:spacing w:after="20"/>
            </w:pPr>
            <w:r/>
            <w:r>
              <w:rPr>
                <w:sz w:val="16"/>
              </w:rPr>
              <w:t>No gestiona ofertas de pasantía por sí sola; depende de Google/Outlook Calendar.</w:t>
            </w:r>
          </w:p>
        </w:tc>
        <w:tc>
          <w:tcPr>
            <w:tcW w:type="dxa" w:w="2494"/>
          </w:tcPr>
          <w:p>
            <w:pPr>
              <w:spacing w:after="20"/>
            </w:pPr>
            <w:r/>
            <w:r>
              <w:rPr>
                <w:sz w:val="16"/>
              </w:rPr>
              <w:t>Gratis (Lite); Starter ≈ $10/mes anual</w:t>
            </w:r>
          </w:p>
        </w:tc>
        <w:tc>
          <w:tcPr>
            <w:tcW w:type="dxa" w:w="1984"/>
          </w:tcPr>
          <w:p>
            <w:pPr>
              <w:spacing w:after="20"/>
            </w:pPr>
            <w:r/>
            <w:r>
              <w:rPr>
                <w:b/>
                <w:sz w:val="16"/>
              </w:rPr>
              <w:t>Candidata 1</w:t>
            </w:r>
          </w:p>
        </w:tc>
      </w:tr>
      <w:tr>
        <w:trPr>
          <w:cantSplit w:val="true"/>
        </w:trPr>
        <w:tc>
          <w:tcPr>
            <w:tcW w:type="dxa" w:w="2041"/>
            <w:shd w:val="clear" w:color="auto" w:fill="F7F0F2"/>
          </w:tcPr>
          <w:p>
            <w:pPr>
              <w:spacing w:after="20"/>
            </w:pPr>
            <w:r/>
            <w:r>
              <w:rPr>
                <w:b/>
                <w:sz w:val="16"/>
              </w:rPr>
              <w:t>Motion</w:t>
            </w:r>
          </w:p>
        </w:tc>
        <w:tc>
          <w:tcPr>
            <w:tcW w:type="dxa" w:w="4535"/>
            <w:shd w:val="clear" w:color="auto" w:fill="F7F0F2"/>
          </w:tcPr>
          <w:p>
            <w:pPr>
              <w:spacing w:after="20"/>
            </w:pPr>
            <w:r/>
            <w:r>
              <w:rPr>
                <w:sz w:val="16"/>
              </w:rPr>
              <w:t>Calendario + gestor de tareas con replanificación automática.</w:t>
            </w:r>
          </w:p>
        </w:tc>
        <w:tc>
          <w:tcPr>
            <w:tcW w:type="dxa" w:w="3685"/>
            <w:shd w:val="clear" w:color="auto" w:fill="F7F0F2"/>
          </w:tcPr>
          <w:p>
            <w:pPr>
              <w:spacing w:after="20"/>
            </w:pPr>
            <w:r/>
            <w:r>
              <w:rPr>
                <w:sz w:val="16"/>
              </w:rPr>
              <w:t>Sin plan gratuito (solo 7 días de prueba).</w:t>
            </w:r>
          </w:p>
        </w:tc>
        <w:tc>
          <w:tcPr>
            <w:tcW w:type="dxa" w:w="2494"/>
            <w:shd w:val="clear" w:color="auto" w:fill="F7F0F2"/>
          </w:tcPr>
          <w:p>
            <w:pPr>
              <w:spacing w:after="20"/>
            </w:pPr>
            <w:r/>
            <w:r>
              <w:rPr>
                <w:sz w:val="16"/>
              </w:rPr>
              <w:t>≈ $12,73/mes anual o $19 mensual</w:t>
            </w:r>
          </w:p>
        </w:tc>
        <w:tc>
          <w:tcPr>
            <w:tcW w:type="dxa" w:w="1984"/>
            <w:shd w:val="clear" w:color="auto" w:fill="F7F0F2"/>
          </w:tcPr>
          <w:p>
            <w:pPr>
              <w:spacing w:after="20"/>
            </w:pPr>
            <w:r/>
            <w:r>
              <w:rPr>
                <w:b/>
                <w:sz w:val="16"/>
              </w:rPr>
              <w:t>Candidata 2</w:t>
            </w:r>
          </w:p>
        </w:tc>
      </w:tr>
      <w:tr>
        <w:trPr>
          <w:cantSplit w:val="true"/>
        </w:trPr>
        <w:tc>
          <w:tcPr>
            <w:tcW w:type="dxa" w:w="2041"/>
          </w:tcPr>
          <w:p>
            <w:pPr>
              <w:spacing w:after="20"/>
            </w:pPr>
            <w:r/>
            <w:r>
              <w:rPr>
                <w:sz w:val="16"/>
              </w:rPr>
              <w:t>Notion</w:t>
            </w:r>
          </w:p>
        </w:tc>
        <w:tc>
          <w:tcPr>
            <w:tcW w:type="dxa" w:w="4535"/>
          </w:tcPr>
          <w:p>
            <w:pPr>
              <w:spacing w:after="20"/>
            </w:pPr>
            <w:r/>
            <w:r>
              <w:rPr>
                <w:sz w:val="16"/>
              </w:rPr>
              <w:t>Base de datos de postulaciones, notas, bitácora y calendario; plan educativo para estudiantes (verificar elegibilidad con el correo UCAB).</w:t>
            </w:r>
          </w:p>
        </w:tc>
        <w:tc>
          <w:tcPr>
            <w:tcW w:type="dxa" w:w="3685"/>
          </w:tcPr>
          <w:p>
            <w:pPr>
              <w:spacing w:after="20"/>
            </w:pPr>
            <w:r/>
            <w:r>
              <w:rPr>
                <w:sz w:val="16"/>
              </w:rPr>
              <w:t>La IA ahora está en planes de pago; no replanifica automáticamente.</w:t>
            </w:r>
          </w:p>
        </w:tc>
        <w:tc>
          <w:tcPr>
            <w:tcW w:type="dxa" w:w="2494"/>
          </w:tcPr>
          <w:p>
            <w:pPr>
              <w:spacing w:after="20"/>
            </w:pPr>
            <w:r/>
            <w:r>
              <w:rPr>
                <w:sz w:val="16"/>
              </w:rPr>
              <w:t>≈ $20 por usuario/mes (Business)</w:t>
            </w:r>
          </w:p>
        </w:tc>
        <w:tc>
          <w:tcPr>
            <w:tcW w:type="dxa" w:w="1984"/>
          </w:tcPr>
          <w:p>
            <w:pPr>
              <w:spacing w:after="20"/>
            </w:pPr>
            <w:r/>
            <w:r>
              <w:rPr>
                <w:sz w:val="16"/>
              </w:rPr>
              <w:t>Alterna</w:t>
            </w:r>
          </w:p>
        </w:tc>
      </w:tr>
      <w:tr>
        <w:trPr>
          <w:cantSplit w:val="true"/>
        </w:trPr>
        <w:tc>
          <w:tcPr>
            <w:tcW w:type="dxa" w:w="2041"/>
            <w:shd w:val="clear" w:color="auto" w:fill="F7F0F2"/>
          </w:tcPr>
          <w:p>
            <w:pPr>
              <w:spacing w:after="20"/>
            </w:pPr>
            <w:r/>
            <w:r>
              <w:rPr>
                <w:sz w:val="16"/>
              </w:rPr>
              <w:t>Microsoft 365 (Outlook, Planner, To Do)</w:t>
            </w:r>
          </w:p>
        </w:tc>
        <w:tc>
          <w:tcPr>
            <w:tcW w:type="dxa" w:w="4535"/>
            <w:shd w:val="clear" w:color="auto" w:fill="F7F0F2"/>
          </w:tcPr>
          <w:p>
            <w:pPr>
              <w:spacing w:after="20"/>
            </w:pPr>
            <w:r/>
            <w:r>
              <w:rPr>
                <w:sz w:val="16"/>
              </w:rPr>
              <w:t>Un solo proveedor con Word (donde corren Spellbook y Gavel); calendario y tareas.</w:t>
            </w:r>
          </w:p>
        </w:tc>
        <w:tc>
          <w:tcPr>
            <w:tcW w:type="dxa" w:w="3685"/>
            <w:shd w:val="clear" w:color="auto" w:fill="F7F0F2"/>
          </w:tcPr>
          <w:p>
            <w:pPr>
              <w:spacing w:after="20"/>
            </w:pPr>
            <w:r/>
            <w:r>
              <w:rPr>
                <w:sz w:val="16"/>
              </w:rPr>
              <w:t>Licencia; verificar si la UCAB ofrece licencia estudiantil.</w:t>
            </w:r>
          </w:p>
        </w:tc>
        <w:tc>
          <w:tcPr>
            <w:tcW w:type="dxa" w:w="2494"/>
            <w:shd w:val="clear" w:color="auto" w:fill="F7F0F2"/>
          </w:tcPr>
          <w:p>
            <w:pPr>
              <w:spacing w:after="20"/>
            </w:pPr>
            <w:r/>
            <w:r>
              <w:rPr>
                <w:sz w:val="16"/>
              </w:rPr>
              <w:t>Cotizar</w:t>
            </w:r>
          </w:p>
        </w:tc>
        <w:tc>
          <w:tcPr>
            <w:tcW w:type="dxa" w:w="1984"/>
            <w:shd w:val="clear" w:color="auto" w:fill="F7F0F2"/>
          </w:tcPr>
          <w:p>
            <w:pPr>
              <w:spacing w:after="20"/>
            </w:pPr>
            <w:r/>
            <w:r>
              <w:rPr>
                <w:sz w:val="16"/>
              </w:rPr>
              <w:t>Alterna (menos proveedores)</w:t>
            </w:r>
          </w:p>
        </w:tc>
      </w:tr>
      <w:tr>
        <w:trPr>
          <w:cantSplit w:val="true"/>
        </w:trPr>
        <w:tc>
          <w:tcPr>
            <w:tcW w:type="dxa" w:w="2041"/>
          </w:tcPr>
          <w:p>
            <w:pPr>
              <w:spacing w:after="20"/>
            </w:pPr>
            <w:r/>
            <w:r>
              <w:rPr>
                <w:sz w:val="16"/>
              </w:rPr>
              <w:t>Trello, Todoist, Asana</w:t>
            </w:r>
          </w:p>
        </w:tc>
        <w:tc>
          <w:tcPr>
            <w:tcW w:type="dxa" w:w="4535"/>
          </w:tcPr>
          <w:p>
            <w:pPr>
              <w:spacing w:after="20"/>
            </w:pPr>
            <w:r/>
            <w:r>
              <w:rPr>
                <w:sz w:val="16"/>
              </w:rPr>
              <w:t>Tableros Kanban de postulaciones y tareas.</w:t>
            </w:r>
          </w:p>
        </w:tc>
        <w:tc>
          <w:tcPr>
            <w:tcW w:type="dxa" w:w="3685"/>
          </w:tcPr>
          <w:p>
            <w:pPr>
              <w:spacing w:after="20"/>
            </w:pPr>
            <w:r/>
            <w:r>
              <w:rPr>
                <w:sz w:val="16"/>
              </w:rPr>
              <w:t>No resuelven el cruce de horarios.</w:t>
            </w:r>
          </w:p>
        </w:tc>
        <w:tc>
          <w:tcPr>
            <w:tcW w:type="dxa" w:w="2494"/>
          </w:tcPr>
          <w:p>
            <w:pPr>
              <w:spacing w:after="20"/>
            </w:pPr>
            <w:r/>
            <w:r>
              <w:rPr>
                <w:sz w:val="16"/>
              </w:rPr>
              <w:t>Planes gratuitos (verificar)</w:t>
            </w:r>
          </w:p>
        </w:tc>
        <w:tc>
          <w:tcPr>
            <w:tcW w:type="dxa" w:w="1984"/>
          </w:tcPr>
          <w:p>
            <w:pPr>
              <w:spacing w:after="20"/>
            </w:pPr>
            <w:r/>
            <w:r>
              <w:rPr>
                <w:sz w:val="16"/>
              </w:rPr>
              <w:t>Alterna</w:t>
            </w:r>
          </w:p>
        </w:tc>
      </w:tr>
      <w:tr>
        <w:trPr>
          <w:cantSplit w:val="true"/>
        </w:trPr>
        <w:tc>
          <w:tcPr>
            <w:tcW w:type="dxa" w:w="2041"/>
            <w:shd w:val="clear" w:color="auto" w:fill="F7F0F2"/>
          </w:tcPr>
          <w:p>
            <w:pPr>
              <w:spacing w:after="20"/>
            </w:pPr>
            <w:r/>
            <w:r>
              <w:rPr>
                <w:sz w:val="16"/>
              </w:rPr>
              <w:t>Toggl Track / Clockify</w:t>
            </w:r>
          </w:p>
        </w:tc>
        <w:tc>
          <w:tcPr>
            <w:tcW w:type="dxa" w:w="4535"/>
            <w:shd w:val="clear" w:color="auto" w:fill="F7F0F2"/>
          </w:tcPr>
          <w:p>
            <w:pPr>
              <w:spacing w:after="20"/>
            </w:pPr>
            <w:r/>
            <w:r>
              <w:rPr>
                <w:sz w:val="16"/>
              </w:rPr>
              <w:t>Registro de horas de pasantía y de tiempo por tarea (bitácora).</w:t>
            </w:r>
          </w:p>
        </w:tc>
        <w:tc>
          <w:tcPr>
            <w:tcW w:type="dxa" w:w="3685"/>
            <w:shd w:val="clear" w:color="auto" w:fill="F7F0F2"/>
          </w:tcPr>
          <w:p>
            <w:pPr>
              <w:spacing w:after="20"/>
            </w:pPr>
            <w:r/>
            <w:r>
              <w:rPr>
                <w:sz w:val="16"/>
              </w:rPr>
              <w:t>Complementan, no reemplazan a la app general.</w:t>
            </w:r>
          </w:p>
        </w:tc>
        <w:tc>
          <w:tcPr>
            <w:tcW w:type="dxa" w:w="2494"/>
            <w:shd w:val="clear" w:color="auto" w:fill="F7F0F2"/>
          </w:tcPr>
          <w:p>
            <w:pPr>
              <w:spacing w:after="20"/>
            </w:pPr>
            <w:r/>
            <w:r>
              <w:rPr>
                <w:sz w:val="16"/>
              </w:rPr>
              <w:t>Planes gratuitos (verificar)</w:t>
            </w:r>
          </w:p>
        </w:tc>
        <w:tc>
          <w:tcPr>
            <w:tcW w:type="dxa" w:w="1984"/>
            <w:shd w:val="clear" w:color="auto" w:fill="F7F0F2"/>
          </w:tcPr>
          <w:p>
            <w:pPr>
              <w:spacing w:after="20"/>
            </w:pPr>
            <w:r/>
            <w:r>
              <w:rPr>
                <w:sz w:val="16"/>
              </w:rPr>
              <w:t>Complemento</w:t>
            </w:r>
          </w:p>
        </w:tc>
      </w:tr>
      <w:tr>
        <w:trPr>
          <w:cantSplit w:val="true"/>
        </w:trPr>
        <w:tc>
          <w:tcPr>
            <w:tcW w:type="dxa" w:w="2041"/>
          </w:tcPr>
          <w:p>
            <w:pPr>
              <w:spacing w:after="20"/>
            </w:pPr>
            <w:r/>
            <w:r>
              <w:rPr>
                <w:sz w:val="16"/>
              </w:rPr>
              <w:t>Huntr, Teal, Handshake</w:t>
            </w:r>
          </w:p>
        </w:tc>
        <w:tc>
          <w:tcPr>
            <w:tcW w:type="dxa" w:w="4535"/>
          </w:tcPr>
          <w:p>
            <w:pPr>
              <w:spacing w:after="20"/>
            </w:pPr>
            <w:r/>
            <w:r>
              <w:rPr>
                <w:sz w:val="16"/>
              </w:rPr>
              <w:t>Seguimiento de postulaciones y ofertas.</w:t>
            </w:r>
          </w:p>
        </w:tc>
        <w:tc>
          <w:tcPr>
            <w:tcW w:type="dxa" w:w="3685"/>
          </w:tcPr>
          <w:p>
            <w:pPr>
              <w:spacing w:after="20"/>
            </w:pPr>
            <w:r/>
            <w:r>
              <w:rPr>
                <w:sz w:val="16"/>
              </w:rPr>
              <w:t>Orientadas a mercados distintos; verificar cobertura en Venezuela.</w:t>
            </w:r>
          </w:p>
        </w:tc>
        <w:tc>
          <w:tcPr>
            <w:tcW w:type="dxa" w:w="2494"/>
          </w:tcPr>
          <w:p>
            <w:pPr>
              <w:spacing w:after="20"/>
            </w:pPr>
            <w:r/>
            <w:r>
              <w:rPr>
                <w:sz w:val="16"/>
              </w:rPr>
              <w:t>Verificar</w:t>
            </w:r>
          </w:p>
        </w:tc>
        <w:tc>
          <w:tcPr>
            <w:tcW w:type="dxa" w:w="1984"/>
          </w:tcPr>
          <w:p>
            <w:pPr>
              <w:spacing w:after="20"/>
            </w:pPr>
            <w:r/>
            <w:r>
              <w:rPr>
                <w:sz w:val="16"/>
              </w:rPr>
              <w:t>Complemento</w:t>
            </w:r>
          </w:p>
        </w:tc>
      </w:tr>
    </w:tbl>
    <w:p>
      <w:pPr>
        <w:spacing w:after="40"/>
      </w:pPr>
    </w:p>
    <w:p>
      <w:pPr>
        <w:pStyle w:val="Heading2"/>
      </w:pPr>
      <w:r>
        <w:t>6.3 Cómo elegir y cuántos proveedores</w:t>
      </w:r>
    </w:p>
    <w:p>
      <w:pPr>
        <w:pStyle w:val="ListBullet"/>
        <w:spacing w:after="40"/>
        <w:ind w:left="340"/>
      </w:pPr>
      <w:r>
        <w:rPr>
          <w:sz w:val="19"/>
        </w:rPr>
        <w:t xml:space="preserve">Evaluar </w:t>
      </w:r>
      <w:r>
        <w:rPr>
          <w:b/>
          <w:sz w:val="19"/>
        </w:rPr>
        <w:t>dos apps por componente</w:t>
      </w:r>
      <w:r>
        <w:rPr>
          <w:sz w:val="19"/>
        </w:rPr>
        <w:t xml:space="preserve"> (como Aether y SyncMinds); no tres (los comentarios de Café piden comparar "dos").</w:t>
      </w:r>
    </w:p>
    <w:p>
      <w:pPr>
        <w:pStyle w:val="ListBullet"/>
        <w:spacing w:after="40"/>
        <w:ind w:left="340"/>
      </w:pPr>
      <w:r>
        <w:rPr>
          <w:sz w:val="19"/>
        </w:rPr>
        <w:t xml:space="preserve">Menos proveedores puntúa más: una combinación como </w:t>
      </w:r>
      <w:r>
        <w:rPr>
          <w:b/>
          <w:sz w:val="19"/>
        </w:rPr>
        <w:t>Spellbook (Word) + Microsoft 365</w:t>
      </w:r>
      <w:r>
        <w:rPr>
          <w:sz w:val="19"/>
        </w:rPr>
        <w:t xml:space="preserve"> reduce a 2 proveedores y se integra de forma nativa; </w:t>
      </w:r>
      <w:r>
        <w:rPr>
          <w:b/>
          <w:sz w:val="19"/>
        </w:rPr>
        <w:t>Spellbook + Reclaim.ai</w:t>
      </w:r>
      <w:r>
        <w:rPr>
          <w:sz w:val="19"/>
        </w:rPr>
        <w:t xml:space="preserve"> también son 2 proveedores, pero Reclaim depende del calendario del estudiante.</w:t>
      </w:r>
    </w:p>
    <w:p>
      <w:pPr>
        <w:pStyle w:val="ListBullet"/>
        <w:spacing w:after="40"/>
        <w:ind w:left="340"/>
      </w:pPr>
      <w:r>
        <w:rPr>
          <w:sz w:val="19"/>
        </w:rPr>
        <w:t>Criterios de la matriz de evaluación (con pesos acordados): ajuste a los requisitos del estudiante, español y derecho civil, integración entre las dos apps, costo para el usuario, facilidad de uso, documentación y soporte, seguridad y confidencialidad de datos.</w:t>
      </w:r>
    </w:p>
    <w:p>
      <w:pPr>
        <w:pStyle w:val="ListBullet"/>
        <w:spacing w:after="40"/>
        <w:ind w:left="340"/>
      </w:pPr>
      <w:r>
        <w:rPr>
          <w:sz w:val="19"/>
        </w:rPr>
        <w:t xml:space="preserve">La app especializada se clasifica como soporte de la actividad </w:t>
      </w:r>
      <w:r>
        <w:rPr>
          <w:b/>
          <w:sz w:val="19"/>
        </w:rPr>
        <w:t>primaria</w:t>
      </w:r>
      <w:r>
        <w:rPr>
          <w:sz w:val="19"/>
        </w:rPr>
        <w:t xml:space="preserve">; la general, de actividades </w:t>
      </w:r>
      <w:r>
        <w:rPr>
          <w:b/>
          <w:sz w:val="19"/>
        </w:rPr>
        <w:t>administrativas</w:t>
      </w:r>
      <w:r>
        <w:rPr>
          <w:sz w:val="19"/>
        </w:rPr>
        <w:t xml:space="preserve"> (no mezclar, ver el comentario del oral).</w:t>
      </w:r>
    </w:p>
    <w:p>
      <w:pPr>
        <w:pStyle w:val="Heading2"/>
      </w:pPr>
      <w:r>
        <w:t>6.4 Borrador de correo para reservar las apps (no enviado)</w:t>
      </w:r>
    </w:p>
    <w:p>
      <w:pPr>
        <w:spacing w:after="20"/>
      </w:pPr>
      <w:r>
        <w:rPr>
          <w:i/>
          <w:sz w:val="19"/>
        </w:rPr>
        <w:t>Asunto:</w:t>
      </w:r>
      <w:r>
        <w:rPr>
          <w:sz w:val="19"/>
        </w:rPr>
        <w:t xml:space="preserve"> Empresa 1 NRC 16354 — Aplicaciones propuestas para reservar</w:t>
      </w:r>
    </w:p>
    <w:p>
      <w:pPr>
        <w:jc w:val="both"/>
      </w:pPr>
      <w:r>
        <w:rPr>
          <w:sz w:val="19"/>
        </w:rPr>
        <w:t xml:space="preserve">Buenos días, profesora. Somos la Empresa 1 (NRC 16354, mercado: estudiantes de último año de Derecho). Proponemos evaluar, como aplicación especializada con IA, Spellbook y Gavel; y, como aplicación general, Reclaim.ai y Motion. Ninguna figura en la lista de aplicaciones ya tomadas. ¿Nos confirma si podemos reservarlas? Llevaremos nuestras dudas sobre las actividades del usuario a la consulta del jueves. Gracias. </w:t>
      </w:r>
      <w:r>
        <w:rPr>
          <w:sz w:val="19"/>
          <w:highlight w:val="yellow"/>
        </w:rPr>
        <w:t>[Nombres de los integrantes]</w:t>
      </w:r>
    </w:p>
    <w:p>
      <w:r>
        <w:br w:type="page"/>
      </w:r>
    </w:p>
    <w:p>
      <w:pPr>
        <w:pStyle w:val="Heading1"/>
      </w:pPr>
      <w:r>
        <w:t>7. Preparación del examen oral (3 puntos) y preguntas para la consulta del jueves</w:t>
      </w:r>
    </w:p>
    <w:p>
      <w:pPr>
        <w:jc w:val="both"/>
      </w:pPr>
      <w:r>
        <w:rPr>
          <w:sz w:val="19"/>
        </w:rPr>
        <w:t xml:space="preserve">En los documentos con oral, la nota por integrante bajó por estas razones. Cada integrante debe poder responderlas </w:t>
      </w:r>
      <w:r>
        <w:rPr>
          <w:b/>
          <w:sz w:val="19"/>
        </w:rPr>
        <w:t>sobre todo el documento</w:t>
      </w:r>
      <w:r>
        <w:rPr>
          <w:sz w:val="19"/>
        </w:rPr>
        <w:t>, no solo sobre su parte:</w:t>
      </w:r>
    </w:p>
    <w:tbl>
      <w:tblPr>
        <w:tblStyle w:val="TableGrid"/>
        <w:tblW w:type="auto" w:w="0"/>
        <w:jc w:val="center"/>
        <w:tblLayout w:type="fixed"/>
        <w:tblLook w:firstColumn="1" w:firstRow="1" w:lastColumn="0" w:lastRow="0" w:noHBand="0" w:noVBand="1" w:val="04A0"/>
      </w:tblPr>
      <w:tblGrid>
        <w:gridCol w:w="7013"/>
        <w:gridCol w:w="7013"/>
      </w:tblGrid>
      <w:tr>
        <w:trPr>
          <w:tblHeader w:val="true"/>
        </w:trPr>
        <w:tc>
          <w:tcPr>
            <w:tcW w:type="dxa" w:w="7937"/>
            <w:shd w:val="clear" w:color="auto" w:fill="7A1F3D"/>
          </w:tcPr>
          <w:p>
            <w:r/>
            <w:r>
              <w:rPr>
                <w:b/>
                <w:color w:val="FFFFFF"/>
                <w:sz w:val="17"/>
              </w:rPr>
              <w:t>Falla observada (de 2,5)</w:t>
            </w:r>
          </w:p>
        </w:tc>
        <w:tc>
          <w:tcPr>
            <w:tcW w:type="dxa" w:w="6803"/>
            <w:shd w:val="clear" w:color="auto" w:fill="7A1F3D"/>
          </w:tcPr>
          <w:p>
            <w:r/>
            <w:r>
              <w:rPr>
                <w:b/>
                <w:color w:val="FFFFFF"/>
                <w:sz w:val="17"/>
              </w:rPr>
              <w:t>Qué prepararnos</w:t>
            </w:r>
          </w:p>
        </w:tc>
      </w:tr>
      <w:tr>
        <w:trPr>
          <w:cantSplit w:val="true"/>
        </w:trPr>
        <w:tc>
          <w:tcPr>
            <w:tcW w:type="dxa" w:w="7937"/>
          </w:tcPr>
          <w:p>
            <w:pPr>
              <w:spacing w:after="20"/>
            </w:pPr>
            <w:r/>
            <w:r>
              <w:rPr>
                <w:sz w:val="17"/>
              </w:rPr>
              <w:t>"Faltó más sustento a las valoraciones" y "faltó profundizar en la justificación".</w:t>
            </w:r>
          </w:p>
        </w:tc>
        <w:tc>
          <w:tcPr>
            <w:tcW w:type="dxa" w:w="6803"/>
          </w:tcPr>
          <w:p>
            <w:pPr>
              <w:spacing w:after="20"/>
            </w:pPr>
            <w:r/>
            <w:r>
              <w:rPr>
                <w:sz w:val="17"/>
              </w:rPr>
              <w:t>Para cada valor de la factibilidad, una frase de por qué ese número y qué lo subiría.</w:t>
            </w:r>
          </w:p>
        </w:tc>
      </w:tr>
      <w:tr>
        <w:trPr>
          <w:cantSplit w:val="true"/>
        </w:trPr>
        <w:tc>
          <w:tcPr>
            <w:tcW w:type="dxa" w:w="7937"/>
            <w:shd w:val="clear" w:color="auto" w:fill="F7F0F2"/>
          </w:tcPr>
          <w:p>
            <w:pPr>
              <w:spacing w:after="20"/>
            </w:pPr>
            <w:r/>
            <w:r>
              <w:rPr>
                <w:sz w:val="17"/>
              </w:rPr>
              <w:t>"Justificación técnica de los recursos, no vinculada a las oportunidades de negocio"; "centraste en que son baratas y tienen documentación".</w:t>
            </w:r>
          </w:p>
        </w:tc>
        <w:tc>
          <w:tcPr>
            <w:tcW w:type="dxa" w:w="6803"/>
            <w:shd w:val="clear" w:color="auto" w:fill="F7F0F2"/>
          </w:tcPr>
          <w:p>
            <w:pPr>
              <w:spacing w:after="20"/>
            </w:pPr>
            <w:r/>
            <w:r>
              <w:rPr>
                <w:sz w:val="17"/>
              </w:rPr>
              <w:t>Explicar cada app a partir del problema del estudiante (horarios, contratos), no de su precio.</w:t>
            </w:r>
          </w:p>
        </w:tc>
      </w:tr>
      <w:tr>
        <w:trPr>
          <w:cantSplit w:val="true"/>
        </w:trPr>
        <w:tc>
          <w:tcPr>
            <w:tcW w:type="dxa" w:w="7937"/>
          </w:tcPr>
          <w:p>
            <w:pPr>
              <w:spacing w:after="20"/>
            </w:pPr>
            <w:r/>
            <w:r>
              <w:rPr>
                <w:sz w:val="17"/>
              </w:rPr>
              <w:t>"Sin recursos y tipo de proceso mal"; "nunca dijiste cuál proceso era"; "no especificaste el proceso, solo dijiste que era primario".</w:t>
            </w:r>
          </w:p>
        </w:tc>
        <w:tc>
          <w:tcPr>
            <w:tcW w:type="dxa" w:w="6803"/>
          </w:tcPr>
          <w:p>
            <w:pPr>
              <w:spacing w:after="20"/>
            </w:pPr>
            <w:r/>
            <w:r>
              <w:rPr>
                <w:sz w:val="17"/>
              </w:rPr>
              <w:t>Saber decir: nombre del proceso, tipo (apoyo/primario), actores, entradas y salidas, y qué recursos se comparan.</w:t>
            </w:r>
          </w:p>
        </w:tc>
      </w:tr>
      <w:tr>
        <w:trPr>
          <w:cantSplit w:val="true"/>
        </w:trPr>
        <w:tc>
          <w:tcPr>
            <w:tcW w:type="dxa" w:w="7937"/>
            <w:shd w:val="clear" w:color="auto" w:fill="F7F0F2"/>
          </w:tcPr>
          <w:p>
            <w:pPr>
              <w:spacing w:after="20"/>
            </w:pPr>
            <w:r/>
            <w:r>
              <w:rPr>
                <w:sz w:val="17"/>
              </w:rPr>
              <w:t>"Ni el objetivo general ni los específicos estaban bien redactados".</w:t>
            </w:r>
          </w:p>
        </w:tc>
        <w:tc>
          <w:tcPr>
            <w:tcW w:type="dxa" w:w="6803"/>
            <w:shd w:val="clear" w:color="auto" w:fill="F7F0F2"/>
          </w:tcPr>
          <w:p>
            <w:pPr>
              <w:spacing w:after="20"/>
            </w:pPr>
            <w:r/>
            <w:r>
              <w:rPr>
                <w:sz w:val="17"/>
              </w:rPr>
              <w:t>Memorizar el objetivo general y los 4 específicos con su producto.</w:t>
            </w:r>
          </w:p>
        </w:tc>
      </w:tr>
      <w:tr>
        <w:trPr>
          <w:cantSplit w:val="true"/>
        </w:trPr>
        <w:tc>
          <w:tcPr>
            <w:tcW w:type="dxa" w:w="7937"/>
          </w:tcPr>
          <w:p>
            <w:pPr>
              <w:spacing w:after="20"/>
            </w:pPr>
            <w:r/>
            <w:r>
              <w:rPr>
                <w:sz w:val="17"/>
              </w:rPr>
              <w:t>"Describiste a medias las iteraciones y el modelo estaba mal"; "faltó el tipo de proceso".</w:t>
            </w:r>
          </w:p>
        </w:tc>
        <w:tc>
          <w:tcPr>
            <w:tcW w:type="dxa" w:w="6803"/>
          </w:tcPr>
          <w:p>
            <w:pPr>
              <w:spacing w:after="20"/>
            </w:pPr>
            <w:r/>
            <w:r>
              <w:rPr>
                <w:sz w:val="17"/>
              </w:rPr>
              <w:t>Dibujar el CVDS y explicar etapa lineal, subproyectos, iteraciones e integración.</w:t>
            </w:r>
          </w:p>
        </w:tc>
      </w:tr>
      <w:tr>
        <w:trPr>
          <w:cantSplit w:val="true"/>
        </w:trPr>
        <w:tc>
          <w:tcPr>
            <w:tcW w:type="dxa" w:w="7937"/>
            <w:shd w:val="clear" w:color="auto" w:fill="F7F0F2"/>
          </w:tcPr>
          <w:p>
            <w:pPr>
              <w:spacing w:after="20"/>
            </w:pPr>
            <w:r/>
            <w:r>
              <w:rPr>
                <w:sz w:val="17"/>
              </w:rPr>
              <w:t>"Pintaste tres procesos y cada uno tenía problemas de correspondencia con el DV"; "errores en entradas y salidas, y actividades que no concuerdan con el DV".</w:t>
            </w:r>
          </w:p>
        </w:tc>
        <w:tc>
          <w:tcPr>
            <w:tcW w:type="dxa" w:w="6803"/>
            <w:shd w:val="clear" w:color="auto" w:fill="F7F0F2"/>
          </w:tcPr>
          <w:p>
            <w:pPr>
              <w:spacing w:after="20"/>
            </w:pPr>
            <w:r/>
            <w:r>
              <w:rPr>
                <w:sz w:val="17"/>
              </w:rPr>
              <w:t>Que el diagrama del Apéndice D diga exactamente lo mismo que la Declaración y la Solución.</w:t>
            </w:r>
          </w:p>
        </w:tc>
      </w:tr>
      <w:tr>
        <w:trPr>
          <w:cantSplit w:val="true"/>
        </w:trPr>
        <w:tc>
          <w:tcPr>
            <w:tcW w:type="dxa" w:w="7937"/>
          </w:tcPr>
          <w:p>
            <w:pPr>
              <w:spacing w:after="20"/>
            </w:pPr>
            <w:r/>
            <w:r>
              <w:rPr>
                <w:sz w:val="17"/>
              </w:rPr>
              <w:t>"Un SI no puede ser al mismo tiempo un Backoffice y soportar decisiones estratégicas".</w:t>
            </w:r>
          </w:p>
        </w:tc>
        <w:tc>
          <w:tcPr>
            <w:tcW w:type="dxa" w:w="6803"/>
          </w:tcPr>
          <w:p>
            <w:pPr>
              <w:spacing w:after="20"/>
            </w:pPr>
            <w:r/>
            <w:r>
              <w:rPr>
                <w:sz w:val="17"/>
              </w:rPr>
              <w:t>Clasificar cada app en un solo rol.</w:t>
            </w:r>
          </w:p>
        </w:tc>
      </w:tr>
      <w:tr>
        <w:trPr>
          <w:cantSplit w:val="true"/>
        </w:trPr>
        <w:tc>
          <w:tcPr>
            <w:tcW w:type="dxa" w:w="7937"/>
            <w:shd w:val="clear" w:color="auto" w:fill="F7F0F2"/>
          </w:tcPr>
          <w:p>
            <w:pPr>
              <w:spacing w:after="20"/>
            </w:pPr>
            <w:r/>
            <w:r>
              <w:rPr>
                <w:sz w:val="17"/>
              </w:rPr>
              <w:t>"Te faltó especificar el alcance de la automatización".</w:t>
            </w:r>
          </w:p>
        </w:tc>
        <w:tc>
          <w:tcPr>
            <w:tcW w:type="dxa" w:w="6803"/>
            <w:shd w:val="clear" w:color="auto" w:fill="F7F0F2"/>
          </w:tcPr>
          <w:p>
            <w:pPr>
              <w:spacing w:after="20"/>
            </w:pPr>
            <w:r/>
            <w:r>
              <w:rPr>
                <w:sz w:val="17"/>
              </w:rPr>
              <w:t>Decir qué se automatiza y qué no (p. ej. el borrador sí; la firma y la revisión legal, no).</w:t>
            </w:r>
          </w:p>
        </w:tc>
      </w:tr>
    </w:tbl>
    <w:p>
      <w:pPr>
        <w:spacing w:after="40"/>
      </w:pPr>
    </w:p>
    <w:p>
      <w:pPr>
        <w:pStyle w:val="Heading2"/>
      </w:pPr>
      <w:r>
        <w:t>Preguntas para la profesora (consulta del jueves 22/10)</w:t>
      </w:r>
    </w:p>
    <w:p>
      <w:pPr>
        <w:pStyle w:val="ListBullet"/>
        <w:spacing w:after="40"/>
        <w:ind w:left="340"/>
      </w:pPr>
      <w:r>
        <w:rPr>
          <w:sz w:val="19"/>
        </w:rPr>
        <w:t>¿Podemos reservar Spellbook, Gavel, Reclaim.ai y Motion? ¿Alguna cambió de estado desde el 15/10?</w:t>
      </w:r>
    </w:p>
    <w:p>
      <w:pPr>
        <w:pStyle w:val="ListBullet"/>
        <w:spacing w:after="40"/>
        <w:ind w:left="340"/>
      </w:pPr>
      <w:r>
        <w:rPr>
          <w:sz w:val="19"/>
        </w:rPr>
        <w:t>Como consultoría que evalúa apps, ¿qué verbo prefiere para el objetivo general ("desarrollar", "proponer")?</w:t>
      </w:r>
    </w:p>
    <w:p>
      <w:pPr>
        <w:pStyle w:val="ListBullet"/>
        <w:spacing w:after="40"/>
        <w:ind w:left="340"/>
      </w:pPr>
      <w:r>
        <w:rPr>
          <w:sz w:val="19"/>
        </w:rPr>
        <w:t>¿Cuántos usuarios potenciales mínimos debe tener el Apéndice E?</w:t>
      </w:r>
    </w:p>
    <w:p>
      <w:pPr>
        <w:pStyle w:val="ListBullet"/>
        <w:spacing w:after="40"/>
        <w:ind w:left="340"/>
      </w:pPr>
      <w:r>
        <w:rPr>
          <w:sz w:val="19"/>
        </w:rPr>
        <w:t>Para el costo por hora: ¿vale el tabulador CIV o debemos valorarlo "según experiencia real" como dice el enunciado? ¿Puede indicarnos el tabulador vigente?</w:t>
      </w:r>
    </w:p>
    <w:p>
      <w:pPr>
        <w:pStyle w:val="ListBullet"/>
        <w:spacing w:after="40"/>
        <w:ind w:left="340"/>
      </w:pPr>
      <w:r>
        <w:rPr>
          <w:sz w:val="19"/>
        </w:rPr>
        <w:t>¿Una validación con 2 estudiantes alcanza o prefiere más entrevistas? ¿Podemos entrevistar a un coordinador de la Clínica Jurídica?</w:t>
      </w:r>
    </w:p>
    <w:p>
      <w:pPr>
        <w:pStyle w:val="ListBullet"/>
        <w:spacing w:after="40"/>
        <w:ind w:left="340"/>
      </w:pPr>
      <w:r>
        <w:rPr>
          <w:sz w:val="19"/>
        </w:rPr>
        <w:t>¿Las apps pueden requerir Microsoft Word (licencia) y cuentas de prueba gratuitas?</w:t>
      </w:r>
    </w:p>
    <w:p>
      <w:pPr>
        <w:pStyle w:val="ListBullet"/>
        <w:spacing w:after="40"/>
        <w:ind w:left="340"/>
      </w:pPr>
      <w:r>
        <w:rPr>
          <w:sz w:val="19"/>
        </w:rPr>
        <w:t>Actividades del usuario que queremos validar: coordinar agendas, buscar pasantías, armar contratos, buscar jurisprudencia, registrar horas. ¿Falta alguna?</w:t>
      </w:r>
    </w:p>
    <w:p>
      <w:pPr>
        <w:pStyle w:val="Heading1"/>
      </w:pPr>
      <w:r>
        <w:t>8. Lista de verificación antes de enviar</w:t>
      </w:r>
    </w:p>
    <w:tbl>
      <w:tblPr>
        <w:tblStyle w:val="TableGrid"/>
        <w:tblW w:type="auto" w:w="0"/>
        <w:jc w:val="center"/>
        <w:tblLayout w:type="fixed"/>
        <w:tblLook w:firstColumn="1" w:firstRow="1" w:lastColumn="0" w:lastRow="0" w:noHBand="0" w:noVBand="1" w:val="04A0"/>
      </w:tblPr>
      <w:tblGrid>
        <w:gridCol w:w="7013"/>
        <w:gridCol w:w="7013"/>
      </w:tblGrid>
      <w:tr>
        <w:trPr>
          <w:tblHeader w:val="true"/>
        </w:trPr>
        <w:tc>
          <w:tcPr>
            <w:tcW w:type="dxa" w:w="567"/>
            <w:shd w:val="clear" w:color="auto" w:fill="7A1F3D"/>
          </w:tcPr>
          <w:p>
            <w:r/>
            <w:r>
              <w:rPr>
                <w:b/>
                <w:color w:val="FFFFFF"/>
                <w:sz w:val="17"/>
              </w:rPr>
              <w:t>☐</w:t>
            </w:r>
          </w:p>
        </w:tc>
        <w:tc>
          <w:tcPr>
            <w:tcW w:type="dxa" w:w="14173"/>
            <w:shd w:val="clear" w:color="auto" w:fill="7A1F3D"/>
          </w:tcPr>
          <w:p>
            <w:r/>
            <w:r>
              <w:rPr>
                <w:b/>
                <w:color w:val="FFFFFF"/>
                <w:sz w:val="17"/>
              </w:rPr>
              <w:t>Verificación</w:t>
            </w:r>
          </w:p>
        </w:tc>
      </w:tr>
      <w:tr>
        <w:trPr>
          <w:cantSplit w:val="true"/>
        </w:trPr>
        <w:tc>
          <w:tcPr>
            <w:tcW w:type="dxa" w:w="567"/>
          </w:tcPr>
          <w:p>
            <w:pPr>
              <w:spacing w:after="20"/>
            </w:pPr>
            <w:r/>
            <w:r>
              <w:rPr>
                <w:sz w:val="17"/>
              </w:rPr>
              <w:t>☐</w:t>
            </w:r>
          </w:p>
        </w:tc>
        <w:tc>
          <w:tcPr>
            <w:tcW w:type="dxa" w:w="14173"/>
          </w:tcPr>
          <w:p>
            <w:pPr>
              <w:spacing w:after="20"/>
            </w:pPr>
            <w:r/>
            <w:r>
              <w:rPr>
                <w:sz w:val="17"/>
              </w:rPr>
              <w:t>PDF, ≤ 9 páginas de cuerpo (sin portada, contenido, bibliografía y apéndices), páginas numeradas, contenido con apéndices.</w:t>
            </w:r>
          </w:p>
        </w:tc>
      </w:tr>
      <w:tr>
        <w:trPr>
          <w:cantSplit w:val="true"/>
        </w:trPr>
        <w:tc>
          <w:tcPr>
            <w:tcW w:type="dxa" w:w="567"/>
          </w:tcPr>
          <w:p>
            <w:pPr>
              <w:spacing w:after="20"/>
            </w:pPr>
            <w:r/>
            <w:r>
              <w:rPr>
                <w:sz w:val="17"/>
              </w:rPr>
              <w:t>☐</w:t>
            </w:r>
          </w:p>
        </w:tc>
        <w:tc>
          <w:tcPr>
            <w:tcW w:type="dxa" w:w="14173"/>
          </w:tcPr>
          <w:p>
            <w:pPr>
              <w:spacing w:after="20"/>
            </w:pPr>
            <w:r/>
            <w:r>
              <w:rPr>
                <w:sz w:val="17"/>
              </w:rPr>
              <w:t>Portada de empresa: logo, nombre, colores, título corto; sin nombre de la profesora; fecha correcta.</w:t>
            </w:r>
          </w:p>
        </w:tc>
      </w:tr>
      <w:tr>
        <w:trPr>
          <w:cantSplit w:val="true"/>
        </w:trPr>
        <w:tc>
          <w:tcPr>
            <w:tcW w:type="dxa" w:w="567"/>
          </w:tcPr>
          <w:p>
            <w:pPr>
              <w:spacing w:after="20"/>
            </w:pPr>
            <w:r/>
            <w:r>
              <w:rPr>
                <w:sz w:val="17"/>
              </w:rPr>
              <w:t>☐</w:t>
            </w:r>
          </w:p>
        </w:tc>
        <w:tc>
          <w:tcPr>
            <w:tcW w:type="dxa" w:w="14173"/>
          </w:tcPr>
          <w:p>
            <w:pPr>
              <w:spacing w:after="20"/>
            </w:pPr>
            <w:r/>
            <w:r>
              <w:rPr>
                <w:sz w:val="17"/>
              </w:rPr>
              <w:t>Cada cifra, herramienta y modelo con referencia APA 7; todos los [n] existen en la bibliografía y viceversa.</w:t>
            </w:r>
          </w:p>
        </w:tc>
      </w:tr>
      <w:tr>
        <w:trPr>
          <w:cantSplit w:val="true"/>
        </w:trPr>
        <w:tc>
          <w:tcPr>
            <w:tcW w:type="dxa" w:w="567"/>
          </w:tcPr>
          <w:p>
            <w:pPr>
              <w:spacing w:after="20"/>
            </w:pPr>
            <w:r/>
            <w:r>
              <w:rPr>
                <w:sz w:val="17"/>
              </w:rPr>
              <w:t>☐</w:t>
            </w:r>
          </w:p>
        </w:tc>
        <w:tc>
          <w:tcPr>
            <w:tcW w:type="dxa" w:w="14173"/>
          </w:tcPr>
          <w:p>
            <w:pPr>
              <w:spacing w:after="20"/>
            </w:pPr>
            <w:r/>
            <w:r>
              <w:rPr>
                <w:sz w:val="17"/>
              </w:rPr>
              <w:t>Objetivo general en 1–2 líneas con verbo y producto; 4 objetivos específicos con producto y alcance; ningún "analizar" ni "documentar" como objetivo.</w:t>
            </w:r>
          </w:p>
        </w:tc>
      </w:tr>
      <w:tr>
        <w:trPr>
          <w:cantSplit w:val="true"/>
        </w:trPr>
        <w:tc>
          <w:tcPr>
            <w:tcW w:type="dxa" w:w="567"/>
          </w:tcPr>
          <w:p>
            <w:pPr>
              <w:spacing w:after="20"/>
            </w:pPr>
            <w:r/>
            <w:r>
              <w:rPr>
                <w:sz w:val="17"/>
              </w:rPr>
              <w:t>☐</w:t>
            </w:r>
          </w:p>
        </w:tc>
        <w:tc>
          <w:tcPr>
            <w:tcW w:type="dxa" w:w="14173"/>
          </w:tcPr>
          <w:p>
            <w:pPr>
              <w:spacing w:after="20"/>
            </w:pPr>
            <w:r/>
            <w:r>
              <w:rPr>
                <w:sz w:val="17"/>
              </w:rPr>
              <w:t>Limitaciones sin riesgos; riesgos solo en la factibilidad.</w:t>
            </w:r>
          </w:p>
        </w:tc>
      </w:tr>
      <w:tr>
        <w:trPr>
          <w:cantSplit w:val="true"/>
        </w:trPr>
        <w:tc>
          <w:tcPr>
            <w:tcW w:type="dxa" w:w="567"/>
          </w:tcPr>
          <w:p>
            <w:pPr>
              <w:spacing w:after="20"/>
            </w:pPr>
            <w:r/>
            <w:r>
              <w:rPr>
                <w:sz w:val="17"/>
              </w:rPr>
              <w:t>☐</w:t>
            </w:r>
          </w:p>
        </w:tc>
        <w:tc>
          <w:tcPr>
            <w:tcW w:type="dxa" w:w="14173"/>
          </w:tcPr>
          <w:p>
            <w:pPr>
              <w:spacing w:after="20"/>
            </w:pPr>
            <w:r/>
            <w:r>
              <w:rPr>
                <w:sz w:val="17"/>
              </w:rPr>
              <w:t>Factibilidad: 6 renglones con peso, valor, cálculo y total ≥ 80 %; RR.HH. = nosotros; presupuesto con origen.</w:t>
            </w:r>
          </w:p>
        </w:tc>
      </w:tr>
      <w:tr>
        <w:trPr>
          <w:cantSplit w:val="true"/>
        </w:trPr>
        <w:tc>
          <w:tcPr>
            <w:tcW w:type="dxa" w:w="567"/>
          </w:tcPr>
          <w:p>
            <w:pPr>
              <w:spacing w:after="20"/>
            </w:pPr>
            <w:r/>
            <w:r>
              <w:rPr>
                <w:sz w:val="17"/>
              </w:rPr>
              <w:t>☐</w:t>
            </w:r>
          </w:p>
        </w:tc>
        <w:tc>
          <w:tcPr>
            <w:tcW w:type="dxa" w:w="14173"/>
          </w:tcPr>
          <w:p>
            <w:pPr>
              <w:spacing w:after="20"/>
            </w:pPr>
            <w:r/>
            <w:r>
              <w:rPr>
                <w:sz w:val="17"/>
              </w:rPr>
              <w:t>Plan coherente: fechas del Apéndice A = esquema del CVDS; Apéndice B con fechas reales y entregable; roles, no personas.</w:t>
            </w:r>
          </w:p>
        </w:tc>
      </w:tr>
      <w:tr>
        <w:trPr>
          <w:cantSplit w:val="true"/>
        </w:trPr>
        <w:tc>
          <w:tcPr>
            <w:tcW w:type="dxa" w:w="567"/>
          </w:tcPr>
          <w:p>
            <w:pPr>
              <w:spacing w:after="20"/>
            </w:pPr>
            <w:r/>
            <w:r>
              <w:rPr>
                <w:sz w:val="17"/>
              </w:rPr>
              <w:t>☐</w:t>
            </w:r>
          </w:p>
        </w:tc>
        <w:tc>
          <w:tcPr>
            <w:tcW w:type="dxa" w:w="14173"/>
          </w:tcPr>
          <w:p>
            <w:pPr>
              <w:spacing w:after="20"/>
            </w:pPr>
            <w:r/>
            <w:r>
              <w:rPr>
                <w:sz w:val="17"/>
              </w:rPr>
              <w:t>Costos: tarifas del CIV vigente citadas; precios de apps con fuente.</w:t>
            </w:r>
          </w:p>
        </w:tc>
      </w:tr>
      <w:tr>
        <w:trPr>
          <w:cantSplit w:val="true"/>
        </w:trPr>
        <w:tc>
          <w:tcPr>
            <w:tcW w:type="dxa" w:w="567"/>
          </w:tcPr>
          <w:p>
            <w:pPr>
              <w:spacing w:after="20"/>
            </w:pPr>
            <w:r/>
            <w:r>
              <w:rPr>
                <w:sz w:val="17"/>
              </w:rPr>
              <w:t>☐</w:t>
            </w:r>
          </w:p>
        </w:tc>
        <w:tc>
          <w:tcPr>
            <w:tcW w:type="dxa" w:w="14173"/>
          </w:tcPr>
          <w:p>
            <w:pPr>
              <w:spacing w:after="20"/>
            </w:pPr>
            <w:r/>
            <w:r>
              <w:rPr>
                <w:sz w:val="17"/>
              </w:rPr>
              <w:t>Apéndice D con el tipo de proceso, entradas/salidas, recursos de TI referenciados, flujo de izquierda a derecha.</w:t>
            </w:r>
          </w:p>
        </w:tc>
      </w:tr>
      <w:tr>
        <w:trPr>
          <w:cantSplit w:val="true"/>
        </w:trPr>
        <w:tc>
          <w:tcPr>
            <w:tcW w:type="dxa" w:w="567"/>
          </w:tcPr>
          <w:p>
            <w:pPr>
              <w:spacing w:after="20"/>
            </w:pPr>
            <w:r/>
            <w:r>
              <w:rPr>
                <w:sz w:val="17"/>
              </w:rPr>
              <w:t>☐</w:t>
            </w:r>
          </w:p>
        </w:tc>
        <w:tc>
          <w:tcPr>
            <w:tcW w:type="dxa" w:w="14173"/>
          </w:tcPr>
          <w:p>
            <w:pPr>
              <w:spacing w:after="20"/>
            </w:pPr>
            <w:r/>
            <w:r>
              <w:rPr>
                <w:sz w:val="17"/>
              </w:rPr>
              <w:t>Apéndice E con contactos reales, consentimiento y misma población que el texto.</w:t>
            </w:r>
          </w:p>
        </w:tc>
      </w:tr>
      <w:tr>
        <w:trPr>
          <w:cantSplit w:val="true"/>
        </w:trPr>
        <w:tc>
          <w:tcPr>
            <w:tcW w:type="dxa" w:w="567"/>
          </w:tcPr>
          <w:p>
            <w:pPr>
              <w:spacing w:after="20"/>
            </w:pPr>
            <w:r/>
            <w:r>
              <w:rPr>
                <w:sz w:val="17"/>
              </w:rPr>
              <w:t>☐</w:t>
            </w:r>
          </w:p>
        </w:tc>
        <w:tc>
          <w:tcPr>
            <w:tcW w:type="dxa" w:w="14173"/>
          </w:tcPr>
          <w:p>
            <w:pPr>
              <w:spacing w:after="20"/>
            </w:pPr>
            <w:r/>
            <w:r>
              <w:rPr>
                <w:sz w:val="17"/>
              </w:rPr>
              <w:t>Redacción en futuro/consultoría; nada "ya hecho"; sin texto amarillo del borrador.</w:t>
            </w:r>
          </w:p>
        </w:tc>
      </w:tr>
      <w:tr>
        <w:trPr>
          <w:cantSplit w:val="true"/>
        </w:trPr>
        <w:tc>
          <w:tcPr>
            <w:tcW w:type="dxa" w:w="567"/>
          </w:tcPr>
          <w:p>
            <w:pPr>
              <w:spacing w:after="20"/>
            </w:pPr>
            <w:r/>
            <w:r>
              <w:rPr>
                <w:sz w:val="17"/>
              </w:rPr>
              <w:t>☐</w:t>
            </w:r>
          </w:p>
        </w:tc>
        <w:tc>
          <w:tcPr>
            <w:tcW w:type="dxa" w:w="14173"/>
          </w:tcPr>
          <w:p>
            <w:pPr>
              <w:spacing w:after="20"/>
            </w:pPr>
            <w:r/>
            <w:r>
              <w:rPr>
                <w:sz w:val="17"/>
              </w:rPr>
              <w:t>Apps reservadas con la profesora; correo enviado antes de las 10:00 a. m. del 29/10/2026 a licardosoclasespregrado@gmail.com.</w:t>
            </w:r>
          </w:p>
        </w:tc>
      </w:tr>
      <w:tr>
        <w:trPr>
          <w:cantSplit w:val="true"/>
        </w:trPr>
        <w:tc>
          <w:tcPr>
            <w:tcW w:type="dxa" w:w="567"/>
          </w:tcPr>
          <w:p>
            <w:pPr>
              <w:spacing w:after="20"/>
            </w:pPr>
            <w:r/>
            <w:r>
              <w:rPr>
                <w:sz w:val="17"/>
              </w:rPr>
              <w:t>☐</w:t>
            </w:r>
          </w:p>
        </w:tc>
        <w:tc>
          <w:tcPr>
            <w:tcW w:type="dxa" w:w="14173"/>
          </w:tcPr>
          <w:p>
            <w:pPr>
              <w:spacing w:after="20"/>
            </w:pPr>
            <w:r/>
            <w:r>
              <w:rPr>
                <w:sz w:val="17"/>
              </w:rPr>
              <w:t>Cada integrante ensayó el oral y puede explicar todo el documento.</w:t>
            </w:r>
          </w:p>
        </w:tc>
      </w:tr>
    </w:tbl>
    <w:p>
      <w:pPr>
        <w:spacing w:after="40"/>
      </w:pPr>
    </w:p>
    <w:sectPr w:rsidR="00FC693F" w:rsidRPr="0006063C" w:rsidSect="00034616">
      <w:footerReference w:type="default" r:id="rId9"/>
      <w:pgSz w:w="15840" w:h="12240" w:orient="landscape"/>
      <w:pgMar w:top="1134" w:right="907" w:bottom="113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r>
    <w:r>
      <w:rPr>
        <w:color w:val="555555"/>
        <w:sz w:val="16"/>
      </w:rPr>
      <w:t xml:space="preserve">Guía de redacción del Documento de Visión · Empresa 1   ·   pág.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7A1F3D"/>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7A1F3D"/>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5555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