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E2237" w14:textId="77777777" w:rsidR="00C60347" w:rsidRDefault="00C60347" w:rsidP="00C60347">
      <w:pPr>
        <w:jc w:val="center"/>
        <w:rPr>
          <w:rFonts w:ascii="Poppins" w:hAnsi="Poppins" w:cs="Poppin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405A650" wp14:editId="37CA11F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540004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348FD" w14:textId="77777777" w:rsidR="00C60347" w:rsidRDefault="00C60347" w:rsidP="00C60347">
      <w:pPr>
        <w:jc w:val="center"/>
        <w:rPr>
          <w:rFonts w:ascii="Poppins" w:hAnsi="Poppins" w:cs="Poppins"/>
          <w:sz w:val="24"/>
          <w:szCs w:val="24"/>
        </w:rPr>
      </w:pPr>
    </w:p>
    <w:p w14:paraId="3CC3BD72" w14:textId="77777777" w:rsidR="00C60347" w:rsidRDefault="00C60347" w:rsidP="00C60347">
      <w:pPr>
        <w:jc w:val="center"/>
        <w:rPr>
          <w:rFonts w:ascii="Poppins" w:hAnsi="Poppins" w:cs="Poppins"/>
          <w:sz w:val="24"/>
          <w:szCs w:val="24"/>
        </w:rPr>
      </w:pPr>
    </w:p>
    <w:p w14:paraId="3C478659" w14:textId="77777777" w:rsidR="00C60347" w:rsidRDefault="00C60347" w:rsidP="00C60347">
      <w:pPr>
        <w:jc w:val="center"/>
        <w:rPr>
          <w:rFonts w:ascii="Poppins" w:hAnsi="Poppins" w:cs="Poppins"/>
          <w:sz w:val="24"/>
          <w:szCs w:val="24"/>
        </w:rPr>
      </w:pPr>
    </w:p>
    <w:p w14:paraId="1EF9C632" w14:textId="77777777" w:rsidR="00C60347" w:rsidRDefault="00C60347" w:rsidP="00C60347">
      <w:pPr>
        <w:jc w:val="center"/>
        <w:rPr>
          <w:rFonts w:ascii="Poppins" w:hAnsi="Poppins" w:cs="Poppins"/>
          <w:sz w:val="24"/>
          <w:szCs w:val="24"/>
        </w:rPr>
      </w:pPr>
    </w:p>
    <w:p w14:paraId="6F35390A" w14:textId="77777777" w:rsidR="00C60347" w:rsidRDefault="00C60347" w:rsidP="00C60347">
      <w:pPr>
        <w:jc w:val="center"/>
        <w:rPr>
          <w:rFonts w:ascii="Poppins" w:hAnsi="Poppins" w:cs="Poppins"/>
          <w:sz w:val="24"/>
          <w:szCs w:val="24"/>
        </w:rPr>
      </w:pPr>
    </w:p>
    <w:p w14:paraId="67DA1C68" w14:textId="77777777" w:rsidR="00C60347" w:rsidRDefault="00C60347" w:rsidP="00C60347">
      <w:pPr>
        <w:jc w:val="center"/>
        <w:rPr>
          <w:rFonts w:ascii="Poppins" w:hAnsi="Poppins" w:cs="Poppins"/>
          <w:sz w:val="24"/>
          <w:szCs w:val="24"/>
        </w:rPr>
      </w:pPr>
    </w:p>
    <w:p w14:paraId="3580B1A6" w14:textId="77777777" w:rsidR="00C60347" w:rsidRDefault="00C60347" w:rsidP="00C60347">
      <w:pPr>
        <w:jc w:val="center"/>
        <w:rPr>
          <w:rFonts w:ascii="Poppins" w:hAnsi="Poppins" w:cs="Poppins"/>
          <w:sz w:val="24"/>
          <w:szCs w:val="24"/>
        </w:rPr>
      </w:pPr>
    </w:p>
    <w:p w14:paraId="252C0E6A" w14:textId="77777777" w:rsidR="00C60347" w:rsidRDefault="00C60347" w:rsidP="00C60347">
      <w:pPr>
        <w:jc w:val="center"/>
        <w:rPr>
          <w:rFonts w:ascii="Poppins" w:hAnsi="Poppins" w:cs="Poppins"/>
          <w:sz w:val="24"/>
          <w:szCs w:val="24"/>
        </w:rPr>
      </w:pPr>
    </w:p>
    <w:p w14:paraId="2631BB92" w14:textId="77777777" w:rsidR="00C60347" w:rsidRDefault="00C60347" w:rsidP="00C60347">
      <w:pPr>
        <w:jc w:val="center"/>
        <w:rPr>
          <w:rFonts w:ascii="Poppins" w:hAnsi="Poppins" w:cs="Poppins"/>
          <w:sz w:val="24"/>
          <w:szCs w:val="24"/>
        </w:rPr>
      </w:pPr>
    </w:p>
    <w:p w14:paraId="5CF59951" w14:textId="77777777" w:rsidR="00C60347" w:rsidRDefault="00C60347" w:rsidP="00C60347">
      <w:pPr>
        <w:jc w:val="center"/>
        <w:rPr>
          <w:rFonts w:ascii="Poppins" w:hAnsi="Poppins" w:cs="Poppins"/>
          <w:sz w:val="24"/>
          <w:szCs w:val="24"/>
        </w:rPr>
      </w:pPr>
    </w:p>
    <w:p w14:paraId="5507AAFD" w14:textId="77777777" w:rsidR="00C60347" w:rsidRDefault="00C60347" w:rsidP="00C60347">
      <w:pPr>
        <w:jc w:val="center"/>
        <w:rPr>
          <w:rFonts w:ascii="Poppins" w:hAnsi="Poppins" w:cs="Poppins"/>
          <w:sz w:val="24"/>
          <w:szCs w:val="24"/>
        </w:rPr>
      </w:pPr>
    </w:p>
    <w:p w14:paraId="2237A1B3" w14:textId="77777777" w:rsidR="00C60347" w:rsidRDefault="00C60347" w:rsidP="00C60347">
      <w:pPr>
        <w:jc w:val="center"/>
        <w:rPr>
          <w:rFonts w:ascii="Poppins" w:hAnsi="Poppins" w:cs="Poppins"/>
          <w:sz w:val="24"/>
          <w:szCs w:val="24"/>
        </w:rPr>
      </w:pPr>
    </w:p>
    <w:p w14:paraId="4B43182F" w14:textId="14DF6B60" w:rsidR="00C60347" w:rsidRPr="006F7078" w:rsidRDefault="00C60347" w:rsidP="00C60347">
      <w:pPr>
        <w:jc w:val="center"/>
        <w:rPr>
          <w:rFonts w:ascii="Libre Baskerville" w:hAnsi="Libre Baskerville" w:cs="Poppins"/>
          <w:b/>
          <w:bCs/>
          <w:sz w:val="24"/>
          <w:szCs w:val="24"/>
        </w:rPr>
      </w:pPr>
      <w:r w:rsidRPr="006F7078">
        <w:rPr>
          <w:rFonts w:ascii="Libre Baskerville" w:hAnsi="Libre Baskerville" w:cs="Poppins"/>
          <w:b/>
          <w:bCs/>
          <w:sz w:val="24"/>
          <w:szCs w:val="24"/>
        </w:rPr>
        <w:t xml:space="preserve">Documento de </w:t>
      </w:r>
      <w:r w:rsidR="00DC06B9">
        <w:rPr>
          <w:rFonts w:ascii="Libre Baskerville" w:hAnsi="Libre Baskerville" w:cs="Poppins"/>
          <w:b/>
          <w:bCs/>
          <w:sz w:val="24"/>
          <w:szCs w:val="24"/>
        </w:rPr>
        <w:t>Visión</w:t>
      </w:r>
    </w:p>
    <w:p w14:paraId="680399D7" w14:textId="77777777" w:rsidR="00C60347" w:rsidRDefault="00C60347" w:rsidP="00C60347">
      <w:pPr>
        <w:jc w:val="center"/>
        <w:rPr>
          <w:rFonts w:ascii="Poppins" w:hAnsi="Poppins" w:cs="Poppins"/>
          <w:sz w:val="24"/>
          <w:szCs w:val="24"/>
        </w:rPr>
      </w:pPr>
    </w:p>
    <w:p w14:paraId="6D31B3FB" w14:textId="77777777" w:rsidR="00C60347" w:rsidRDefault="00C60347" w:rsidP="00C60347">
      <w:pPr>
        <w:jc w:val="center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Germán Moreno</w:t>
      </w:r>
      <w:r w:rsidR="006F7078">
        <w:rPr>
          <w:rFonts w:ascii="Poppins" w:hAnsi="Poppins" w:cs="Poppins"/>
          <w:sz w:val="24"/>
          <w:szCs w:val="24"/>
        </w:rPr>
        <w:t xml:space="preserve"> (C.I.: 31.449.083)</w:t>
      </w:r>
      <w:r>
        <w:rPr>
          <w:rFonts w:ascii="Poppins" w:hAnsi="Poppins" w:cs="Poppins"/>
          <w:sz w:val="24"/>
          <w:szCs w:val="24"/>
        </w:rPr>
        <w:t xml:space="preserve"> – Arquitecto de Software</w:t>
      </w:r>
    </w:p>
    <w:p w14:paraId="26D28D16" w14:textId="77777777" w:rsidR="00C60347" w:rsidRDefault="00C60347" w:rsidP="00C60347">
      <w:pPr>
        <w:jc w:val="center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Fabián</w:t>
      </w:r>
      <w:r w:rsidR="00131113">
        <w:rPr>
          <w:rFonts w:ascii="Poppins" w:hAnsi="Poppins" w:cs="Poppins"/>
          <w:sz w:val="24"/>
          <w:szCs w:val="24"/>
        </w:rPr>
        <w:t xml:space="preserve"> Silva</w:t>
      </w:r>
      <w:r>
        <w:rPr>
          <w:rFonts w:ascii="Poppins" w:hAnsi="Poppins" w:cs="Poppins"/>
          <w:sz w:val="24"/>
          <w:szCs w:val="24"/>
        </w:rPr>
        <w:t xml:space="preserve"> </w:t>
      </w:r>
      <w:r w:rsidR="00131113">
        <w:rPr>
          <w:rFonts w:ascii="Poppins" w:hAnsi="Poppins" w:cs="Poppins"/>
          <w:sz w:val="24"/>
          <w:szCs w:val="24"/>
        </w:rPr>
        <w:t xml:space="preserve">(C.I.: 30.774.804) </w:t>
      </w:r>
      <w:r>
        <w:rPr>
          <w:rFonts w:ascii="Poppins" w:hAnsi="Poppins" w:cs="Poppins"/>
          <w:sz w:val="24"/>
          <w:szCs w:val="24"/>
        </w:rPr>
        <w:t>– Desarrollador</w:t>
      </w:r>
    </w:p>
    <w:p w14:paraId="767B43DB" w14:textId="77777777" w:rsidR="00173F48" w:rsidRDefault="00C60347" w:rsidP="006F7078">
      <w:pPr>
        <w:jc w:val="center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Bruno</w:t>
      </w:r>
      <w:r w:rsidR="00131113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="00131113">
        <w:rPr>
          <w:rFonts w:ascii="Poppins" w:hAnsi="Poppins" w:cs="Poppins"/>
          <w:sz w:val="24"/>
          <w:szCs w:val="24"/>
        </w:rPr>
        <w:t>Yauripoma</w:t>
      </w:r>
      <w:proofErr w:type="spellEnd"/>
      <w:r w:rsidR="00131113">
        <w:rPr>
          <w:rFonts w:ascii="Poppins" w:hAnsi="Poppins" w:cs="Poppins"/>
          <w:sz w:val="24"/>
          <w:szCs w:val="24"/>
        </w:rPr>
        <w:t xml:space="preserve"> (C.I.: 29.651.365)</w:t>
      </w:r>
      <w:r>
        <w:rPr>
          <w:rFonts w:ascii="Poppins" w:hAnsi="Poppins" w:cs="Poppins"/>
          <w:sz w:val="24"/>
          <w:szCs w:val="24"/>
        </w:rPr>
        <w:t xml:space="preserve"> – Analista</w:t>
      </w:r>
    </w:p>
    <w:p>
      <w:pPr>
        <w:spacing w:before="200"/>
        <w:jc w:val="center"/>
      </w:pPr>
      <w:r>
        <w:rPr>
          <w:rFonts w:ascii="Poppins" w:hAnsi="Poppins" w:cs="Poppins"/>
          <w:color w:val="555555"/>
          <w:sz w:val="20"/>
          <w:szCs w:val="20"/>
        </w:rPr>
        <w:t xml:space="preserve">Ingeniería de Requisitos · NRC 16354 · Octubre de 2026</w:t>
      </w:r>
    </w:p>
    <w:p w14:paraId="71E7119B" w14:textId="77777777" w:rsidR="00173F48" w:rsidRDefault="00173F48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br w:type="page"/>
      </w:r>
    </w:p>
    <w:p w14:paraId="489B5A9F" w14:textId="77777777" w:rsidR="006F7078" w:rsidRDefault="006F7078" w:rsidP="00173F48">
      <w:pPr>
        <w:jc w:val="center"/>
        <w:rPr>
          <w:rFonts w:ascii="Libre Baskerville" w:hAnsi="Libre Baskerville" w:cs="Poppins"/>
          <w:b/>
          <w:bCs/>
          <w:sz w:val="24"/>
          <w:szCs w:val="24"/>
        </w:rPr>
      </w:pPr>
      <w:r w:rsidRPr="006F7078">
        <w:rPr>
          <w:rFonts w:ascii="Libre Baskerville" w:hAnsi="Libre Baskerville" w:cs="Poppins"/>
          <w:b/>
          <w:bCs/>
          <w:sz w:val="24"/>
          <w:szCs w:val="24"/>
        </w:rPr>
        <w:lastRenderedPageBreak/>
        <w:t>TABLA DE CONTENIDOS</w:t>
      </w:r>
    </w:p>
    <w:p>
      <w:pPr>
        <w:tabs>
          <w:tab w:val="right" w:leader="dot" w:pos="8504"/>
        </w:tabs>
        <w:spacing w:before="120" w:after="0"/>
        <w:jc w:val="left"/>
      </w:pPr>
      <w:r>
        <w:rPr>
          <w:rFonts w:ascii="Poppins" w:hAnsi="Poppins" w:cs="Poppins"/>
          <w:b/>
          <w:bCs/>
          <w:sz w:val="22"/>
          <w:szCs w:val="22"/>
        </w:rPr>
        <w:t xml:space="preserve">1. Declaración de Oportunidad</w:t>
      </w:r>
      <w:r>
        <w:rPr>
          <w:rFonts w:ascii="Poppins" w:hAnsi="Poppins" w:cs="Poppins"/>
          <w:b/>
          <w:bCs/>
          <w:sz w:val="22"/>
          <w:szCs w:val="22"/>
        </w:rPr>
        <w:tab/>
      </w:r>
      <w:r>
        <w:rPr>
          <w:rFonts w:ascii="Poppins" w:hAnsi="Poppins" w:cs="Poppins"/>
          <w:b/>
          <w:bCs/>
          <w:sz w:val="22"/>
          <w:szCs w:val="22"/>
        </w:rPr>
        <w:t xml:space="preserve">3</w:t>
      </w:r>
    </w:p>
    <w:p>
      <w:pPr>
        <w:tabs>
          <w:tab w:val="right" w:leader="dot" w:pos="8504"/>
        </w:tabs>
        <w:spacing w:before="120" w:after="0"/>
        <w:jc w:val="left"/>
      </w:pPr>
      <w:r>
        <w:rPr>
          <w:rFonts w:ascii="Poppins" w:hAnsi="Poppins" w:cs="Poppins"/>
          <w:b/>
          <w:bCs/>
          <w:sz w:val="22"/>
          <w:szCs w:val="22"/>
        </w:rPr>
        <w:t xml:space="preserve">2. Solución Informática Propuesta</w:t>
      </w:r>
      <w:r>
        <w:rPr>
          <w:rFonts w:ascii="Poppins" w:hAnsi="Poppins" w:cs="Poppins"/>
          <w:b/>
          <w:bCs/>
          <w:sz w:val="22"/>
          <w:szCs w:val="22"/>
        </w:rPr>
        <w:tab/>
      </w:r>
      <w:r>
        <w:rPr>
          <w:rFonts w:ascii="Poppins" w:hAnsi="Poppins" w:cs="Poppins"/>
          <w:b/>
          <w:bCs/>
          <w:sz w:val="22"/>
          <w:szCs w:val="22"/>
        </w:rPr>
        <w:t xml:space="preserve">4</w:t>
      </w:r>
    </w:p>
    <w:p>
      <w:pPr>
        <w:tabs>
          <w:tab w:val="right" w:leader="dot" w:pos="8504"/>
        </w:tabs>
        <w:spacing w:before="120" w:after="0"/>
        <w:jc w:val="left"/>
      </w:pPr>
      <w:r>
        <w:rPr>
          <w:rFonts w:ascii="Poppins" w:hAnsi="Poppins" w:cs="Poppins"/>
          <w:b/>
          <w:bCs/>
          <w:sz w:val="22"/>
          <w:szCs w:val="22"/>
        </w:rPr>
        <w:t xml:space="preserve">3. Objetivo General</w:t>
      </w:r>
      <w:r>
        <w:rPr>
          <w:rFonts w:ascii="Poppins" w:hAnsi="Poppins" w:cs="Poppins"/>
          <w:b/>
          <w:bCs/>
          <w:sz w:val="22"/>
          <w:szCs w:val="22"/>
        </w:rPr>
        <w:tab/>
      </w:r>
      <w:r>
        <w:rPr>
          <w:rFonts w:ascii="Poppins" w:hAnsi="Poppins" w:cs="Poppins"/>
          <w:b/>
          <w:bCs/>
          <w:sz w:val="22"/>
          <w:szCs w:val="22"/>
        </w:rPr>
        <w:t xml:space="preserve">6</w:t>
      </w:r>
    </w:p>
    <w:p>
      <w:pPr>
        <w:tabs>
          <w:tab w:val="right" w:leader="dot" w:pos="8504"/>
        </w:tabs>
        <w:spacing w:before="120" w:after="0"/>
        <w:jc w:val="left"/>
      </w:pPr>
      <w:r>
        <w:rPr>
          <w:rFonts w:ascii="Poppins" w:hAnsi="Poppins" w:cs="Poppins"/>
          <w:b/>
          <w:bCs/>
          <w:sz w:val="22"/>
          <w:szCs w:val="22"/>
        </w:rPr>
        <w:t xml:space="preserve">4. Objetivos Específicos y Alcance</w:t>
      </w:r>
      <w:r>
        <w:rPr>
          <w:rFonts w:ascii="Poppins" w:hAnsi="Poppins" w:cs="Poppins"/>
          <w:b/>
          <w:bCs/>
          <w:sz w:val="22"/>
          <w:szCs w:val="22"/>
        </w:rPr>
        <w:tab/>
      </w:r>
      <w:r>
        <w:rPr>
          <w:rFonts w:ascii="Poppins" w:hAnsi="Poppins" w:cs="Poppins"/>
          <w:b/>
          <w:bCs/>
          <w:sz w:val="22"/>
          <w:szCs w:val="22"/>
        </w:rPr>
        <w:t xml:space="preserve">6</w:t>
      </w:r>
    </w:p>
    <w:p>
      <w:pPr>
        <w:tabs>
          <w:tab w:val="right" w:leader="dot" w:pos="8504"/>
        </w:tabs>
        <w:spacing w:before="120" w:after="0"/>
        <w:jc w:val="left"/>
      </w:pPr>
      <w:r>
        <w:rPr>
          <w:rFonts w:ascii="Poppins" w:hAnsi="Poppins" w:cs="Poppins"/>
          <w:b/>
          <w:bCs/>
          <w:sz w:val="22"/>
          <w:szCs w:val="22"/>
        </w:rPr>
        <w:t xml:space="preserve">5. Limitaciones</w:t>
      </w:r>
      <w:r>
        <w:rPr>
          <w:rFonts w:ascii="Poppins" w:hAnsi="Poppins" w:cs="Poppins"/>
          <w:b/>
          <w:bCs/>
          <w:sz w:val="22"/>
          <w:szCs w:val="22"/>
        </w:rPr>
        <w:tab/>
      </w:r>
      <w:r>
        <w:rPr>
          <w:rFonts w:ascii="Poppins" w:hAnsi="Poppins" w:cs="Poppins"/>
          <w:b/>
          <w:bCs/>
          <w:sz w:val="22"/>
          <w:szCs w:val="22"/>
        </w:rPr>
        <w:t xml:space="preserve">7</w:t>
      </w:r>
    </w:p>
    <w:p>
      <w:pPr>
        <w:tabs>
          <w:tab w:val="right" w:leader="dot" w:pos="8504"/>
        </w:tabs>
        <w:spacing w:before="120" w:after="0"/>
        <w:jc w:val="left"/>
      </w:pPr>
      <w:r>
        <w:rPr>
          <w:rFonts w:ascii="Poppins" w:hAnsi="Poppins" w:cs="Poppins"/>
          <w:b/>
          <w:bCs/>
          <w:sz w:val="22"/>
          <w:szCs w:val="22"/>
        </w:rPr>
        <w:t xml:space="preserve">6. Cuadro de Factibilidad</w:t>
      </w:r>
      <w:r>
        <w:rPr>
          <w:rFonts w:ascii="Poppins" w:hAnsi="Poppins" w:cs="Poppins"/>
          <w:b/>
          <w:bCs/>
          <w:sz w:val="22"/>
          <w:szCs w:val="22"/>
        </w:rPr>
        <w:tab/>
      </w:r>
      <w:r>
        <w:rPr>
          <w:rFonts w:ascii="Poppins" w:hAnsi="Poppins" w:cs="Poppins"/>
          <w:b/>
          <w:bCs/>
          <w:sz w:val="22"/>
          <w:szCs w:val="22"/>
        </w:rPr>
        <w:t xml:space="preserve">8</w:t>
      </w:r>
    </w:p>
    <w:p>
      <w:pPr>
        <w:tabs>
          <w:tab w:val="right" w:leader="dot" w:pos="8504"/>
        </w:tabs>
        <w:spacing w:before="120" w:after="0"/>
        <w:jc w:val="left"/>
      </w:pPr>
      <w:r>
        <w:rPr>
          <w:rFonts w:ascii="Poppins" w:hAnsi="Poppins" w:cs="Poppins"/>
          <w:b/>
          <w:bCs/>
          <w:sz w:val="22"/>
          <w:szCs w:val="22"/>
        </w:rPr>
        <w:t xml:space="preserve">7. Modelo de Desarrollo y Esquema CVDS</w:t>
      </w:r>
      <w:r>
        <w:rPr>
          <w:rFonts w:ascii="Poppins" w:hAnsi="Poppins" w:cs="Poppins"/>
          <w:b/>
          <w:bCs/>
          <w:sz w:val="22"/>
          <w:szCs w:val="22"/>
        </w:rPr>
        <w:tab/>
      </w:r>
      <w:r>
        <w:rPr>
          <w:rFonts w:ascii="Poppins" w:hAnsi="Poppins" w:cs="Poppins"/>
          <w:b/>
          <w:bCs/>
          <w:sz w:val="22"/>
          <w:szCs w:val="22"/>
        </w:rPr>
        <w:t xml:space="preserve">9</w:t>
      </w:r>
    </w:p>
    <w:p>
      <w:pPr>
        <w:tabs>
          <w:tab w:val="right" w:leader="dot" w:pos="8504"/>
        </w:tabs>
        <w:spacing w:before="120" w:after="0"/>
        <w:jc w:val="left"/>
      </w:pPr>
      <w:r>
        <w:rPr>
          <w:rFonts w:ascii="Poppins" w:hAnsi="Poppins" w:cs="Poppins"/>
          <w:b/>
          <w:bCs/>
          <w:sz w:val="22"/>
          <w:szCs w:val="22"/>
        </w:rPr>
        <w:t xml:space="preserve">Referencias</w:t>
      </w:r>
      <w:r>
        <w:rPr>
          <w:rFonts w:ascii="Poppins" w:hAnsi="Poppins" w:cs="Poppins"/>
          <w:b/>
          <w:bCs/>
          <w:sz w:val="22"/>
          <w:szCs w:val="22"/>
        </w:rPr>
        <w:tab/>
      </w:r>
      <w:r>
        <w:rPr>
          <w:rFonts w:ascii="Poppins" w:hAnsi="Poppins" w:cs="Poppins"/>
          <w:b/>
          <w:bCs/>
          <w:sz w:val="22"/>
          <w:szCs w:val="22"/>
        </w:rPr>
        <w:t xml:space="preserve">11</w:t>
      </w:r>
    </w:p>
    <w:p>
      <w:pPr>
        <w:tabs>
          <w:tab w:val="right" w:leader="dot" w:pos="8504"/>
        </w:tabs>
        <w:spacing w:before="120" w:after="0"/>
        <w:jc w:val="left"/>
      </w:pPr>
      <w:r>
        <w:rPr>
          <w:rFonts w:ascii="Poppins" w:hAnsi="Poppins" w:cs="Poppins"/>
          <w:b/>
          <w:bCs/>
          <w:sz w:val="22"/>
          <w:szCs w:val="22"/>
        </w:rPr>
        <w:t xml:space="preserve">Apéndice A. Planificación general del proyecto</w:t>
      </w:r>
      <w:r>
        <w:rPr>
          <w:rFonts w:ascii="Poppins" w:hAnsi="Poppins" w:cs="Poppins"/>
          <w:b/>
          <w:bCs/>
          <w:sz w:val="22"/>
          <w:szCs w:val="22"/>
        </w:rPr>
        <w:tab/>
      </w:r>
      <w:r>
        <w:rPr>
          <w:rFonts w:ascii="Poppins" w:hAnsi="Poppins" w:cs="Poppins"/>
          <w:b/>
          <w:bCs/>
          <w:sz w:val="22"/>
          <w:szCs w:val="22"/>
        </w:rPr>
        <w:t xml:space="preserve">13</w:t>
      </w:r>
    </w:p>
    <w:p>
      <w:pPr>
        <w:tabs>
          <w:tab w:val="right" w:leader="dot" w:pos="8504"/>
        </w:tabs>
        <w:spacing w:before="120" w:after="0"/>
        <w:jc w:val="left"/>
      </w:pPr>
      <w:r>
        <w:rPr>
          <w:rFonts w:ascii="Poppins" w:hAnsi="Poppins" w:cs="Poppins"/>
          <w:b/>
          <w:bCs/>
          <w:sz w:val="22"/>
          <w:szCs w:val="22"/>
        </w:rPr>
        <w:t xml:space="preserve">Apéndice B. Planificación detallada de la Etapa de Inicio</w:t>
      </w:r>
      <w:r>
        <w:rPr>
          <w:rFonts w:ascii="Poppins" w:hAnsi="Poppins" w:cs="Poppins"/>
          <w:b/>
          <w:bCs/>
          <w:sz w:val="22"/>
          <w:szCs w:val="22"/>
        </w:rPr>
        <w:tab/>
      </w:r>
      <w:r>
        <w:rPr>
          <w:rFonts w:ascii="Poppins" w:hAnsi="Poppins" w:cs="Poppins"/>
          <w:b/>
          <w:bCs/>
          <w:sz w:val="22"/>
          <w:szCs w:val="22"/>
        </w:rPr>
        <w:t xml:space="preserve">14</w:t>
      </w:r>
    </w:p>
    <w:p>
      <w:pPr>
        <w:tabs>
          <w:tab w:val="right" w:leader="dot" w:pos="8504"/>
        </w:tabs>
        <w:spacing w:before="120" w:after="0"/>
        <w:jc w:val="left"/>
      </w:pPr>
      <w:r>
        <w:rPr>
          <w:rFonts w:ascii="Poppins" w:hAnsi="Poppins" w:cs="Poppins"/>
          <w:b/>
          <w:bCs/>
          <w:sz w:val="22"/>
          <w:szCs w:val="22"/>
        </w:rPr>
        <w:t xml:space="preserve">Apéndice C. Estructura de costos</w:t>
      </w:r>
      <w:r>
        <w:rPr>
          <w:rFonts w:ascii="Poppins" w:hAnsi="Poppins" w:cs="Poppins"/>
          <w:b/>
          <w:bCs/>
          <w:sz w:val="22"/>
          <w:szCs w:val="22"/>
        </w:rPr>
        <w:tab/>
      </w:r>
      <w:r>
        <w:rPr>
          <w:rFonts w:ascii="Poppins" w:hAnsi="Poppins" w:cs="Poppins"/>
          <w:b/>
          <w:bCs/>
          <w:sz w:val="22"/>
          <w:szCs w:val="22"/>
        </w:rPr>
        <w:t xml:space="preserve">15</w:t>
      </w:r>
    </w:p>
    <w:p>
      <w:pPr>
        <w:tabs>
          <w:tab w:val="right" w:leader="dot" w:pos="8504"/>
        </w:tabs>
        <w:spacing w:before="120" w:after="0"/>
        <w:jc w:val="left"/>
      </w:pPr>
      <w:r>
        <w:rPr>
          <w:rFonts w:ascii="Poppins" w:hAnsi="Poppins" w:cs="Poppins"/>
          <w:b/>
          <w:bCs/>
          <w:sz w:val="22"/>
          <w:szCs w:val="22"/>
        </w:rPr>
        <w:t xml:space="preserve">Apéndice D. Documentación de los procesos de negocio</w:t>
      </w:r>
      <w:r>
        <w:rPr>
          <w:rFonts w:ascii="Poppins" w:hAnsi="Poppins" w:cs="Poppins"/>
          <w:b/>
          <w:bCs/>
          <w:sz w:val="22"/>
          <w:szCs w:val="22"/>
        </w:rPr>
        <w:tab/>
      </w:r>
      <w:r>
        <w:rPr>
          <w:rFonts w:ascii="Poppins" w:hAnsi="Poppins" w:cs="Poppins"/>
          <w:b/>
          <w:bCs/>
          <w:sz w:val="22"/>
          <w:szCs w:val="22"/>
        </w:rPr>
        <w:t xml:space="preserve">17</w:t>
      </w:r>
    </w:p>
    <w:p>
      <w:pPr>
        <w:tabs>
          <w:tab w:val="right" w:leader="dot" w:pos="8504"/>
        </w:tabs>
        <w:spacing w:before="120" w:after="0"/>
        <w:jc w:val="left"/>
      </w:pPr>
      <w:r>
        <w:rPr>
          <w:rFonts w:ascii="Poppins" w:hAnsi="Poppins" w:cs="Poppins"/>
          <w:b/>
          <w:bCs/>
          <w:sz w:val="22"/>
          <w:szCs w:val="22"/>
        </w:rPr>
        <w:t xml:space="preserve">Apéndice E. Usuarios potenciales y contactos</w:t>
      </w:r>
      <w:r>
        <w:rPr>
          <w:rFonts w:ascii="Poppins" w:hAnsi="Poppins" w:cs="Poppins"/>
          <w:b/>
          <w:bCs/>
          <w:sz w:val="22"/>
          <w:szCs w:val="22"/>
        </w:rPr>
        <w:tab/>
      </w:r>
      <w:r>
        <w:rPr>
          <w:rFonts w:ascii="Poppins" w:hAnsi="Poppins" w:cs="Poppins"/>
          <w:b/>
          <w:bCs/>
          <w:sz w:val="22"/>
          <w:szCs w:val="22"/>
        </w:rPr>
        <w:t xml:space="preserve">18</w:t>
      </w:r>
    </w:p>
    <w:p>
      <w:pPr>
        <w:tabs>
          <w:tab w:val="right" w:leader="dot" w:pos="8504"/>
        </w:tabs>
        <w:spacing w:before="120" w:after="0"/>
        <w:jc w:val="left"/>
      </w:pPr>
      <w:r>
        <w:rPr>
          <w:rFonts w:ascii="Poppins" w:hAnsi="Poppins" w:cs="Poppins"/>
          <w:b/>
          <w:bCs/>
          <w:sz w:val="22"/>
          <w:szCs w:val="22"/>
        </w:rPr>
        <w:t xml:space="preserve">Anexo 1. Comparación de aplicaciones generalistas</w:t>
      </w:r>
      <w:r>
        <w:rPr>
          <w:rFonts w:ascii="Poppins" w:hAnsi="Poppins" w:cs="Poppins"/>
          <w:b/>
          <w:bCs/>
          <w:sz w:val="22"/>
          <w:szCs w:val="22"/>
        </w:rPr>
        <w:tab/>
      </w:r>
      <w:r>
        <w:rPr>
          <w:rFonts w:ascii="Poppins" w:hAnsi="Poppins" w:cs="Poppins"/>
          <w:b/>
          <w:bCs/>
          <w:sz w:val="22"/>
          <w:szCs w:val="22"/>
        </w:rPr>
        <w:t xml:space="preserve">19</w:t>
      </w:r>
    </w:p>
    <w:p>
      <w:pPr>
        <w:tabs>
          <w:tab w:val="right" w:leader="dot" w:pos="8504"/>
        </w:tabs>
        <w:spacing w:before="120" w:after="0"/>
        <w:jc w:val="left"/>
      </w:pPr>
      <w:r>
        <w:rPr>
          <w:rFonts w:ascii="Poppins" w:hAnsi="Poppins" w:cs="Poppins"/>
          <w:b/>
          <w:bCs/>
          <w:sz w:val="22"/>
          <w:szCs w:val="22"/>
        </w:rPr>
        <w:t xml:space="preserve">Anexo 2. Comparación de aplicaciones especializadas con IA</w:t>
      </w:r>
      <w:r>
        <w:rPr>
          <w:rFonts w:ascii="Poppins" w:hAnsi="Poppins" w:cs="Poppins"/>
          <w:b/>
          <w:bCs/>
          <w:sz w:val="22"/>
          <w:szCs w:val="22"/>
        </w:rPr>
        <w:tab/>
      </w:r>
      <w:r>
        <w:rPr>
          <w:rFonts w:ascii="Poppins" w:hAnsi="Poppins" w:cs="Poppins"/>
          <w:b/>
          <w:bCs/>
          <w:sz w:val="22"/>
          <w:szCs w:val="22"/>
        </w:rPr>
        <w:t xml:space="preserve">19</w:t>
      </w:r>
    </w:p>
    <w:p>
      <w:pPr>
        <w:spacing w:before="200" w:after="0"/>
        <w:jc w:val="left"/>
      </w:pPr>
      <w:r>
        <w:rPr>
          <w:rFonts w:ascii="Poppins" w:hAnsi="Poppins" w:cs="Poppins"/>
          <w:i/>
          <w:iCs/>
          <w:color w:val="555555"/>
          <w:sz w:val="16"/>
          <w:szCs w:val="16"/>
        </w:rPr>
        <w:t xml:space="preserve">Las páginas numeran la hoja completa del archivo (la portada es la página 1). El cuerpo del documento (secciones 1 a 7) ocupa 9 páginas o menos, sin contar portada, tabla de contenidos, referencias, apéndices ni anexos.</w:t>
      </w:r>
    </w:p>
    <w:p>
      <w:r>
        <w:br w:type="page"/>
      </w:r>
    </w:p>
    <w:p>
      <w:pPr>
        <w:keepNext/>
        <w:spacing w:before="0" w:after="60"/>
        <w:jc w:val="center"/>
      </w:pPr>
      <w:r>
        <w:rPr>
          <w:rFonts w:ascii="Libre Baskerville" w:hAnsi="Libre Baskerville" w:cs="Poppins"/>
          <w:b/>
          <w:bCs/>
          <w:sz w:val="26"/>
          <w:szCs w:val="26"/>
        </w:rPr>
        <w:t xml:space="preserve">DECLARACIÓN DE OPORTUNIDAD</w:t>
      </w:r>
    </w:p>
    <w:p>
      <w:pPr>
        <w:spacing w:before="110" w:after="0"/>
        <w:ind w:firstLine="425"/>
        <w:jc w:val="both"/>
      </w:pPr>
      <w:r>
        <w:rPr>
          <w:rFonts w:ascii="Poppins" w:hAnsi="Poppins" w:cs="Poppins"/>
          <w:sz w:val="21"/>
          <w:szCs w:val="21"/>
        </w:rPr>
        <w:t xml:space="preserve">Los estudiantes de último año de la carrera de Derecho de la Universidad Católica Andrés Bello (UCAB) se encuentran en una fase crítica de transición académica y profesional. La titulación exige completar la carga académica, cumplir el Servicio Comunitario e ingresar al sistema de pasantías, que contempla 240 horas de práctica [1] [5]. Según los estudiantes entrevistados, la tesis de grado ya no forma parte del plan de estudios, de modo que la pasantía y el servicio comunitario (Clínica Jurídica de Parque Social) son los requisitos reales de egreso [2]. La vida de este estudiante gira en torno a cuatro actividades: aprender, realizar revisiones documentales, buscar prácticas profesionales y planificar su inserción laboral [6].</w:t>
      </w:r>
    </w:p>
    <w:p>
      <w:pPr>
        <w:spacing w:before="110" w:after="0"/>
        <w:ind w:firstLine="425"/>
        <w:jc w:val="both"/>
      </w:pPr>
      <w:r>
        <w:rPr>
          <w:rFonts w:ascii="Poppins" w:hAnsi="Poppins" w:cs="Poppins"/>
          <w:sz w:val="21"/>
          <w:szCs w:val="21"/>
        </w:rPr>
        <w:t xml:space="preserve">Scriptify, empresa de consultoría de Tecnologías de Información, delimita su mercado a estos estudiantes. Mediante una entrevista a dos estudiantes de último año [2] se validaron cuatro problemas que una solución informática sí puede atender:</w:t>
      </w:r>
    </w:p>
    <w:p>
      <w:pPr>
        <w:pStyle w:val="Prrafodelista"/>
        <w:numPr>
          <w:ilvl w:val="0"/>
          <w:numId w:val="10"/>
        </w:numPr>
        <w:spacing w:before="60" w:after="0"/>
        <w:ind w:left="567" w:hanging="340"/>
        <w:jc w:val="both"/>
      </w:pPr>
      <w:r>
        <w:rPr>
          <w:rFonts w:ascii="Poppins" w:hAnsi="Poppins" w:cs="Poppins"/>
          <w:b/>
          <w:bCs/>
          <w:sz w:val="21"/>
          <w:szCs w:val="21"/>
        </w:rPr>
        <w:t xml:space="preserve">Acceso informal a las vacantes.</w:t>
      </w:r>
      <w:r>
        <w:rPr>
          <w:rFonts w:ascii="Poppins" w:hAnsi="Poppins" w:cs="Poppins"/>
          <w:sz w:val="21"/>
          <w:szCs w:val="21"/>
        </w:rPr>
        <w:t xml:space="preserve"> El canal principal es el "boca a boca" (profesores, familiares, amigos y representación estudiantil), seguido de LinkedIn y de grupos estudiantiles [2]. La oportunidad depende de la red personal de cada estudiante y no existe una forma sencilla de filtrar ofertas por compatibilidad horaria.</w:t>
      </w:r>
    </w:p>
    <w:p>
      <w:pPr>
        <w:pStyle w:val="Prrafodelista"/>
        <w:numPr>
          <w:ilvl w:val="0"/>
          <w:numId w:val="10"/>
        </w:numPr>
        <w:spacing w:before="60" w:after="0"/>
        <w:ind w:left="567" w:hanging="340"/>
        <w:jc w:val="both"/>
      </w:pPr>
      <w:r>
        <w:rPr>
          <w:rFonts w:ascii="Poppins" w:hAnsi="Poppins" w:cs="Poppins"/>
          <w:b/>
          <w:bCs/>
          <w:sz w:val="21"/>
          <w:szCs w:val="21"/>
        </w:rPr>
        <w:t xml:space="preserve">Conflicto entre tres agendas.</w:t>
      </w:r>
      <w:r>
        <w:rPr>
          <w:rFonts w:ascii="Poppins" w:hAnsi="Poppins" w:cs="Poppins"/>
          <w:sz w:val="21"/>
          <w:szCs w:val="21"/>
        </w:rPr>
        <w:t xml:space="preserve"> El "trabajo de calle" del pasante (registros, notarías y tribunales) se concentra en la mañana y primeras horas de la tarde, mientras que las clases se ubican entre el mediodía y la tarde temprana; las firmas resuelven el choque con jornadas reducidas (por ejemplo, de 1:30 p. m. a 5:00 p. m.) [2]. El estudiante debe coordinar a la vez su horario académico [8], el trabajo de oficina y el de calle.</w:t>
      </w:r>
    </w:p>
    <w:p>
      <w:pPr>
        <w:pStyle w:val="Prrafodelista"/>
        <w:numPr>
          <w:ilvl w:val="0"/>
          <w:numId w:val="10"/>
        </w:numPr>
        <w:spacing w:before="60" w:after="0"/>
        <w:ind w:left="567" w:hanging="340"/>
        <w:jc w:val="both"/>
      </w:pPr>
      <w:r>
        <w:rPr>
          <w:rFonts w:ascii="Poppins" w:hAnsi="Poppins" w:cs="Poppins"/>
          <w:b/>
          <w:bCs/>
          <w:sz w:val="21"/>
          <w:szCs w:val="21"/>
        </w:rPr>
        <w:t xml:space="preserve">Restricciones del entorno.</w:t>
      </w:r>
      <w:r>
        <w:rPr>
          <w:rFonts w:ascii="Poppins" w:hAnsi="Poppins" w:cs="Poppins"/>
          <w:sz w:val="21"/>
          <w:szCs w:val="21"/>
        </w:rPr>
        <w:t xml:space="preserve"> Derecho Penal es el área más compleja para conseguir pasantías [2] [3], y la atención en tribunales y registros es inestable (días sin despacho y recortes de la jornada pública por el déficit eléctrico [4]). Este cuello de botella depende de la administración pública y no puede resolverse con un software privado [2]; por ello queda fuera del alcance (Limitaciones).</w:t>
      </w:r>
    </w:p>
    <w:p>
      <w:pPr>
        <w:pStyle w:val="Prrafodelista"/>
        <w:numPr>
          <w:ilvl w:val="0"/>
          <w:numId w:val="10"/>
        </w:numPr>
        <w:spacing w:before="60" w:after="0"/>
        <w:ind w:left="567" w:hanging="340"/>
        <w:jc w:val="both"/>
      </w:pPr>
      <w:r>
        <w:rPr>
          <w:rFonts w:ascii="Poppins" w:hAnsi="Poppins" w:cs="Poppins"/>
          <w:b/>
          <w:bCs/>
          <w:sz w:val="21"/>
          <w:szCs w:val="21"/>
        </w:rPr>
        <w:t xml:space="preserve">Tareas mecánicas y repetitivas.</w:t>
      </w:r>
      <w:r>
        <w:rPr>
          <w:rFonts w:ascii="Poppins" w:hAnsi="Poppins" w:cs="Poppins"/>
          <w:sz w:val="21"/>
          <w:szCs w:val="21"/>
        </w:rPr>
        <w:t xml:space="preserve"> Ya dentro de la pasantía, la redacción de contratos funciona como un "rompecabezas" de cláusulas estandarizadas [2], un proceso repetitivo y altamente automatizable [6] [7].</w:t>
      </w:r>
    </w:p>
    <w:p>
      <w:pPr>
        <w:spacing w:before="140" w:after="0"/>
        <w:ind w:firstLine="425"/>
        <w:jc w:val="both"/>
      </w:pPr>
      <w:r>
        <w:rPr>
          <w:rFonts w:ascii="Poppins" w:hAnsi="Poppins" w:cs="Poppins"/>
          <w:sz w:val="21"/>
          <w:szCs w:val="21"/>
        </w:rPr>
        <w:t xml:space="preserve">Las herramientas que los estudiantes conocen (Microjuris, Adobe Sign y SAP Ariba [2]) sirven para consultar normativa o para gestionar contratos a escala corporativa; ninguna ayuda a un estudiante a ubicar una pasantía compatible con su horario ni a armar borradores con apoyo de inteligencia artificial (IA). Existe, por tanto, una oportunidad de consultoría: reducir el tiempo que el estudiante invierte en encontrar una pasantía compatible con sus clases y en producir borradores contractuales, recomendando e integrando soluciones comerciales existentes, sin desarrollar software propio. Ese tiempo (búsqueda y borrador) será el indicador a medir en el grupo piloto.</w:t>
      </w:r>
    </w:p>
    <w:p>
      <w:pPr>
        <w:keepNext/>
        <w:spacing w:before="240" w:after="60"/>
        <w:jc w:val="center"/>
      </w:pPr>
      <w:r>
        <w:rPr>
          <w:rFonts w:ascii="Libre Baskerville" w:hAnsi="Libre Baskerville" w:cs="Poppins"/>
          <w:b/>
          <w:bCs/>
          <w:sz w:val="26"/>
          <w:szCs w:val="26"/>
        </w:rPr>
        <w:t xml:space="preserve">SOLUCIÓN INFORMÁTICA PROPUESTA</w:t>
      </w:r>
    </w:p>
    <w:p>
      <w:pPr>
        <w:spacing w:before="110" w:after="0"/>
        <w:ind w:firstLine="425"/>
        <w:jc w:val="both"/>
      </w:pPr>
      <w:r>
        <w:rPr>
          <w:rFonts w:ascii="Poppins" w:hAnsi="Poppins" w:cs="Poppins"/>
          <w:sz w:val="21"/>
          <w:szCs w:val="21"/>
        </w:rPr>
        <w:t xml:space="preserve">Scriptify prestará un servicio de consultoría de TI [6]: recomendará, configurará e integrará dos plataformas comerciales ya disponibles, sin programar código propio. La propuesta combina una aplicación </w:t>
      </w:r>
      <w:r>
        <w:rPr>
          <w:rFonts w:ascii="Poppins" w:hAnsi="Poppins" w:cs="Poppins"/>
          <w:b/>
          <w:bCs/>
          <w:sz w:val="21"/>
          <w:szCs w:val="21"/>
        </w:rPr>
        <w:t xml:space="preserve">generalista</w:t>
      </w:r>
      <w:r>
        <w:rPr>
          <w:rFonts w:ascii="Poppins" w:hAnsi="Poppins" w:cs="Poppins"/>
          <w:sz w:val="21"/>
          <w:szCs w:val="21"/>
        </w:rPr>
        <w:t xml:space="preserve"> de búsqueda de empleo, </w:t>
      </w:r>
      <w:r>
        <w:rPr>
          <w:rFonts w:ascii="Poppins" w:hAnsi="Poppins" w:cs="Poppins"/>
          <w:b/>
          <w:bCs/>
          <w:sz w:val="21"/>
          <w:szCs w:val="21"/>
        </w:rPr>
        <w:t xml:space="preserve">LinkedIn Jobs</w:t>
      </w:r>
      <w:r>
        <w:rPr>
          <w:rFonts w:ascii="Poppins" w:hAnsi="Poppins" w:cs="Poppins"/>
          <w:sz w:val="21"/>
          <w:szCs w:val="21"/>
        </w:rPr>
        <w:t xml:space="preserve">, y una aplicación </w:t>
      </w:r>
      <w:r>
        <w:rPr>
          <w:rFonts w:ascii="Poppins" w:hAnsi="Poppins" w:cs="Poppins"/>
          <w:b/>
          <w:bCs/>
          <w:sz w:val="21"/>
          <w:szCs w:val="21"/>
        </w:rPr>
        <w:t xml:space="preserve">especializada</w:t>
      </w:r>
      <w:r>
        <w:rPr>
          <w:rFonts w:ascii="Poppins" w:hAnsi="Poppins" w:cs="Poppins"/>
          <w:sz w:val="21"/>
          <w:szCs w:val="21"/>
        </w:rPr>
        <w:t xml:space="preserve"> de IA para el sector legal (Legal Tech), </w:t>
      </w:r>
      <w:r>
        <w:rPr>
          <w:rFonts w:ascii="Poppins" w:hAnsi="Poppins" w:cs="Poppins"/>
          <w:b/>
          <w:bCs/>
          <w:sz w:val="21"/>
          <w:szCs w:val="21"/>
        </w:rPr>
        <w:t xml:space="preserve">Spellbook</w:t>
      </w:r>
      <w:r>
        <w:rPr>
          <w:rFonts w:ascii="Poppins" w:hAnsi="Poppins" w:cs="Poppins"/>
          <w:sz w:val="21"/>
          <w:szCs w:val="21"/>
        </w:rPr>
        <w:t xml:space="preserve">, unidas por un </w:t>
      </w:r>
      <w:r>
        <w:rPr>
          <w:rFonts w:ascii="Poppins" w:hAnsi="Poppins" w:cs="Poppins"/>
          <w:b/>
          <w:bCs/>
          <w:sz w:val="21"/>
          <w:szCs w:val="21"/>
        </w:rPr>
        <w:t xml:space="preserve">puente</w:t>
      </w:r>
      <w:r>
        <w:rPr>
          <w:rFonts w:ascii="Poppins" w:hAnsi="Poppins" w:cs="Poppins"/>
          <w:sz w:val="21"/>
          <w:szCs w:val="21"/>
        </w:rPr>
        <w:t xml:space="preserve"> definido en el flujo de valor (Figura 1).</w:t>
      </w:r>
    </w:p>
    <w:p>
      <w:pPr>
        <w:spacing w:before="110" w:after="0"/>
        <w:ind w:firstLine="425"/>
        <w:jc w:val="both"/>
      </w:pPr>
      <w:r>
        <w:rPr>
          <w:rFonts w:ascii="Poppins" w:hAnsi="Poppins" w:cs="Poppins"/>
          <w:sz w:val="21"/>
          <w:szCs w:val="21"/>
        </w:rPr>
        <w:t xml:space="preserve">Ambas se seleccionaron al comparar seis alternativas por componente con cinco criterios: (1) ajuste a los problemas validados, (2) disponibilidad y precio en dólares, (3) curva de aprendizaje del estudiante, (4) integración con las herramientas que ya usa (Word y correo) y (5) desempeño en español. La comparación y la razón de descarte de las demás aparecen en los Anexos 1 y 2.</w:t>
      </w:r>
    </w:p>
    <w:p>
      <w:pPr>
        <w:pStyle w:val="Prrafodelista"/>
        <w:numPr>
          <w:ilvl w:val="0"/>
          <w:numId w:val="5"/>
        </w:numPr>
        <w:spacing w:before="60" w:after="0"/>
        <w:ind w:left="567" w:hanging="283"/>
        <w:jc w:val="both"/>
      </w:pPr>
      <w:r>
        <w:rPr>
          <w:rFonts w:ascii="Poppins" w:hAnsi="Poppins" w:cs="Poppins"/>
          <w:b/>
          <w:bCs/>
          <w:sz w:val="21"/>
          <w:szCs w:val="21"/>
        </w:rPr>
        <w:t xml:space="preserve">Aplicación generalista: LinkedIn Jobs (Germán Moreno y Fabián Silva).</w:t>
      </w:r>
      <w:r>
        <w:rPr>
          <w:rFonts w:ascii="Poppins" w:hAnsi="Poppins" w:cs="Poppins"/>
          <w:sz w:val="21"/>
          <w:szCs w:val="21"/>
        </w:rPr>
        <w:t xml:space="preserve"> Permite parametrizar filtros de jornada de medio tiempo, modalidad híbrida o remota y programas de prácticas [9], lo que reduce la dependencia del "boca a boca" [2] y atiende los problemas 1 y 2. Su límite es que filtra por tipo de jornada, no por el horario de clases del estudiante; esa brecha la cubre el puente.</w:t>
      </w:r>
    </w:p>
    <w:p>
      <w:pPr>
        <w:pStyle w:val="Prrafodelista"/>
        <w:numPr>
          <w:ilvl w:val="0"/>
          <w:numId w:val="5"/>
        </w:numPr>
        <w:spacing w:before="60" w:after="0"/>
        <w:ind w:left="567" w:hanging="283"/>
        <w:jc w:val="both"/>
      </w:pPr>
      <w:r>
        <w:rPr>
          <w:rFonts w:ascii="Poppins" w:hAnsi="Poppins" w:cs="Poppins"/>
          <w:b/>
          <w:bCs/>
          <w:sz w:val="21"/>
          <w:szCs w:val="21"/>
        </w:rPr>
        <w:t xml:space="preserve">Aplicación especializada: Spellbook (Fabián Silva y Bruno Yauripoma).</w:t>
      </w:r>
      <w:r>
        <w:rPr>
          <w:rFonts w:ascii="Poppins" w:hAnsi="Poppins" w:cs="Poppins"/>
          <w:sz w:val="21"/>
          <w:szCs w:val="21"/>
        </w:rPr>
        <w:t xml:space="preserve"> Plataforma comercial de IA para contratos basada en modelos de lenguaje extenso (LLM) [10] que se ejecuta como complemento (add-in) dentro de Microsoft Word [11]; analiza contratos, sugiere cláusulas omitidas, señala riesgos y genera borradores [11], lo que atiende el problema 4. Su desempeño en español y su ajuste al derecho venezolano se evaluarán en las pruebas del grupo piloto (Objetivo 3).</w:t>
      </w:r>
    </w:p>
    <w:p>
      <w:pPr>
        <w:pStyle w:val="Prrafodelista"/>
        <w:numPr>
          <w:ilvl w:val="0"/>
          <w:numId w:val="5"/>
        </w:numPr>
        <w:spacing w:before="60" w:after="0"/>
        <w:ind w:left="567" w:hanging="283"/>
        <w:jc w:val="both"/>
      </w:pPr>
      <w:r>
        <w:rPr>
          <w:rFonts w:ascii="Poppins" w:hAnsi="Poppins" w:cs="Poppins"/>
          <w:b/>
          <w:bCs/>
          <w:sz w:val="21"/>
          <w:szCs w:val="21"/>
        </w:rPr>
        <w:t xml:space="preserve">Puente (Germán Moreno y Bruno Yauripoma).</w:t>
      </w:r>
      <w:r>
        <w:rPr>
          <w:rFonts w:ascii="Poppins" w:hAnsi="Poppins" w:cs="Poppins"/>
          <w:sz w:val="21"/>
          <w:szCs w:val="21"/>
        </w:rPr>
        <w:t xml:space="preserve"> No requiere conectores ni APIs. Consiste en una </w:t>
      </w:r>
      <w:r>
        <w:rPr>
          <w:rFonts w:ascii="Poppins" w:hAnsi="Poppins" w:cs="Poppins"/>
          <w:b/>
          <w:bCs/>
          <w:sz w:val="21"/>
          <w:szCs w:val="21"/>
        </w:rPr>
        <w:t xml:space="preserve">Ficha de pasantía</w:t>
      </w:r>
      <w:r>
        <w:rPr>
          <w:rFonts w:ascii="Poppins" w:hAnsi="Poppins" w:cs="Poppins"/>
          <w:sz w:val="21"/>
          <w:szCs w:val="21"/>
        </w:rPr>
        <w:t xml:space="preserve"> en Word, plantilla propia de Scriptify, que (a) contrasta el horario académico [8] con la jornada ofrecida por la vacante antes de postular, (b) recoge de la vacante la firma, la jornada pactada y las tareas asignadas, y (c) encabeza cada borrador elaborado con Spellbook y acumula las horas de la pasantía. Así la tarea, la fecha de entrega y el tiempo invertido pasan de una aplicación a la otra.</w:t>
      </w:r>
    </w:p>
    <w:p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860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86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/>
        <w:jc w:val="center"/>
      </w:pPr>
      <w:r>
        <w:rPr>
          <w:rFonts w:ascii="Poppins" w:hAnsi="Poppins" w:cs="Poppins"/>
          <w:i/>
          <w:iCs/>
          <w:color w:val="555555"/>
          <w:sz w:val="16"/>
          <w:szCs w:val="16"/>
        </w:rPr>
        <w:t xml:space="preserve">Figura 1. Flujo de valor propuesto, de izquierda a derecha (elaboración propia de Scriptify).</w:t>
      </w:r>
    </w:p>
    <w:p>
      <w:pPr>
        <w:spacing w:before="130" w:after="0"/>
        <w:ind w:firstLine="425"/>
        <w:jc w:val="both"/>
      </w:pPr>
      <w:r>
        <w:rPr>
          <w:rFonts w:ascii="Poppins" w:hAnsi="Poppins" w:cs="Poppins"/>
          <w:sz w:val="21"/>
          <w:szCs w:val="21"/>
        </w:rPr>
        <w:t xml:space="preserve">Con esta combinación Scriptify espera, y verificará en el grupo piloto, los siguientes resultados: </w:t>
      </w:r>
      <w:r>
        <w:rPr>
          <w:rFonts w:ascii="Poppins" w:hAnsi="Poppins" w:cs="Poppins"/>
          <w:b/>
          <w:bCs/>
          <w:sz w:val="21"/>
          <w:szCs w:val="21"/>
        </w:rPr>
        <w:t xml:space="preserve">acceso más equitativo a las pasantías</w:t>
      </w:r>
      <w:r>
        <w:rPr>
          <w:rFonts w:ascii="Poppins" w:hAnsi="Poppins" w:cs="Poppins"/>
          <w:sz w:val="21"/>
          <w:szCs w:val="21"/>
        </w:rPr>
        <w:t xml:space="preserve">, porque las vacantes quedan visibles y filtrables sin depender de contactos [2] [9]; </w:t>
      </w:r>
      <w:r>
        <w:rPr>
          <w:rFonts w:ascii="Poppins" w:hAnsi="Poppins" w:cs="Poppins"/>
          <w:b/>
          <w:bCs/>
          <w:sz w:val="21"/>
          <w:szCs w:val="21"/>
        </w:rPr>
        <w:t xml:space="preserve">compatibilidad entre clases y trabajo</w:t>
      </w:r>
      <w:r>
        <w:rPr>
          <w:rFonts w:ascii="Poppins" w:hAnsi="Poppins" w:cs="Poppins"/>
          <w:sz w:val="21"/>
          <w:szCs w:val="21"/>
        </w:rPr>
        <w:t xml:space="preserve">, gracias al contraste de horarios de la Ficha; </w:t>
      </w:r>
      <w:r>
        <w:rPr>
          <w:rFonts w:ascii="Poppins" w:hAnsi="Poppins" w:cs="Poppins"/>
          <w:b/>
          <w:bCs/>
          <w:sz w:val="21"/>
          <w:szCs w:val="21"/>
        </w:rPr>
        <w:t xml:space="preserve">menos tiempo en tareas mecánicas</w:t>
      </w:r>
      <w:r>
        <w:rPr>
          <w:rFonts w:ascii="Poppins" w:hAnsi="Poppins" w:cs="Poppins"/>
          <w:sz w:val="21"/>
          <w:szCs w:val="21"/>
        </w:rPr>
        <w:t xml:space="preserve">, porque el primer borrador se genera con apoyo de IA y lo valida el abogado supervisor [2] [11]; y </w:t>
      </w:r>
      <w:r>
        <w:rPr>
          <w:rFonts w:ascii="Poppins" w:hAnsi="Poppins" w:cs="Poppins"/>
          <w:b/>
          <w:bCs/>
          <w:sz w:val="21"/>
          <w:szCs w:val="21"/>
        </w:rPr>
        <w:t xml:space="preserve">evidencia verificable de la pasantía</w:t>
      </w:r>
      <w:r>
        <w:rPr>
          <w:rFonts w:ascii="Poppins" w:hAnsi="Poppins" w:cs="Poppins"/>
          <w:sz w:val="21"/>
          <w:szCs w:val="21"/>
        </w:rPr>
        <w:t xml:space="preserve">, pues la Ficha acumula las horas de las 240 exigidas [5].</w:t>
      </w:r>
    </w:p>
    <w:p>
      <w:pPr>
        <w:keepNext/>
        <w:spacing w:before="240" w:after="60"/>
        <w:jc w:val="center"/>
      </w:pPr>
      <w:r>
        <w:rPr>
          <w:rFonts w:ascii="Libre Baskerville" w:hAnsi="Libre Baskerville" w:cs="Poppins"/>
          <w:b/>
          <w:bCs/>
          <w:sz w:val="26"/>
          <w:szCs w:val="26"/>
        </w:rPr>
        <w:t xml:space="preserve">OBJETIVO GENERAL</w:t>
      </w:r>
    </w:p>
    <w:p>
      <w:pPr>
        <w:spacing w:before="110" w:after="0"/>
        <w:jc w:val="both"/>
      </w:pPr>
      <w:r>
        <w:rPr>
          <w:rFonts w:ascii="Poppins" w:hAnsi="Poppins" w:cs="Poppins"/>
          <w:sz w:val="21"/>
          <w:szCs w:val="21"/>
        </w:rPr>
        <w:t xml:space="preserve">Proponer una solución informática que integre una aplicación de búsqueda de pasantías y una de IA jurídica para estudiantes de último año de Derecho de la UCAB.</w:t>
      </w:r>
    </w:p>
    <w:p>
      <w:pPr>
        <w:keepNext/>
        <w:spacing w:before="240" w:after="60"/>
        <w:jc w:val="center"/>
      </w:pPr>
      <w:r>
        <w:rPr>
          <w:rFonts w:ascii="Libre Baskerville" w:hAnsi="Libre Baskerville" w:cs="Poppins"/>
          <w:b/>
          <w:bCs/>
          <w:sz w:val="26"/>
          <w:szCs w:val="26"/>
        </w:rPr>
        <w:t xml:space="preserve">OBJETIVOS ESPECÍFICOS Y ALCANCE</w:t>
      </w:r>
    </w:p>
    <w:p>
      <w:pPr>
        <w:spacing w:before="100" w:after="0"/>
        <w:jc w:val="both"/>
      </w:pPr>
      <w:r>
        <w:rPr>
          <w:rFonts w:ascii="Poppins" w:hAnsi="Poppins" w:cs="Poppins"/>
          <w:b/>
          <w:bCs/>
          <w:sz w:val="21"/>
          <w:szCs w:val="21"/>
        </w:rPr>
        <w:t xml:space="preserve">1. Elaborar el documento de requisitos y de evaluación</w:t>
      </w:r>
      <w:r>
        <w:rPr>
          <w:rFonts w:ascii="Poppins" w:hAnsi="Poppins" w:cs="Poppins"/>
          <w:sz w:val="21"/>
          <w:szCs w:val="21"/>
        </w:rPr>
        <w:t xml:space="preserve"> que priorice los requisitos funcionales y no funcionales de los estudiantes de 9.º y 10.º semestre de Derecho de la UCAB y defina los criterios y pesos para comparar aplicaciones.</w:t>
      </w:r>
    </w:p>
    <w:p>
      <w:pPr>
        <w:spacing w:before="30" w:after="0"/>
        <w:ind w:left="340"/>
        <w:jc w:val="both"/>
      </w:pPr>
      <w:r>
        <w:rPr>
          <w:rFonts w:ascii="Poppins" w:hAnsi="Poppins" w:cs="Poppins"/>
          <w:b/>
          <w:bCs/>
          <w:sz w:val="20"/>
          <w:szCs w:val="20"/>
        </w:rPr>
        <w:t xml:space="preserve">Alcance:</w:t>
      </w:r>
      <w:r>
        <w:rPr>
          <w:rFonts w:ascii="Poppins" w:hAnsi="Poppins" w:cs="Poppins"/>
          <w:sz w:val="20"/>
          <w:szCs w:val="20"/>
        </w:rPr>
        <w:t xml:space="preserve"> Incluye la documentación de los procesos actuales (Apéndice D), entrevistas y cuestionarios cerrados a estudiantes, y la matriz de evaluación aplicada a las alternativas de los Anexos 1 y 2 mediante pruebas gratuitas o demostraciones. No incluye auditorías de seguridad a los proveedores ni los trámites presenciales en registros y tribunales.</w:t>
      </w:r>
    </w:p>
    <w:p>
      <w:pPr>
        <w:spacing w:before="100" w:after="0"/>
        <w:jc w:val="both"/>
      </w:pPr>
      <w:r>
        <w:rPr>
          <w:rFonts w:ascii="Poppins" w:hAnsi="Poppins" w:cs="Poppins"/>
          <w:b/>
          <w:bCs/>
          <w:sz w:val="21"/>
          <w:szCs w:val="21"/>
        </w:rPr>
        <w:t xml:space="preserve">2. Diseñar el flujo de valor y el puente</w:t>
      </w:r>
      <w:r>
        <w:rPr>
          <w:rFonts w:ascii="Poppins" w:hAnsi="Poppins" w:cs="Poppins"/>
          <w:sz w:val="21"/>
          <w:szCs w:val="21"/>
        </w:rPr>
        <w:t xml:space="preserve"> entre LinkedIn Jobs y Spellbook, con la plantilla de la Ficha de pasantía, que defina qué datos pasan de una aplicación a la otra.</w:t>
      </w:r>
    </w:p>
    <w:p>
      <w:pPr>
        <w:spacing w:before="30" w:after="0"/>
        <w:ind w:left="340"/>
        <w:jc w:val="both"/>
      </w:pPr>
      <w:r>
        <w:rPr>
          <w:rFonts w:ascii="Poppins" w:hAnsi="Poppins" w:cs="Poppins"/>
          <w:b/>
          <w:bCs/>
          <w:sz w:val="20"/>
          <w:szCs w:val="20"/>
        </w:rPr>
        <w:t xml:space="preserve">Alcance:</w:t>
      </w:r>
      <w:r>
        <w:rPr>
          <w:rFonts w:ascii="Poppins" w:hAnsi="Poppins" w:cs="Poppins"/>
          <w:sz w:val="20"/>
          <w:szCs w:val="20"/>
        </w:rPr>
        <w:t xml:space="preserve"> Producto: diagrama de flujo de valor y plantilla de la Ficha. Excluye programar conectores, APIs o código propio.</w:t>
      </w:r>
    </w:p>
    <w:p>
      <w:pPr>
        <w:spacing w:before="100" w:after="0"/>
        <w:jc w:val="both"/>
      </w:pPr>
      <w:r>
        <w:rPr>
          <w:rFonts w:ascii="Poppins" w:hAnsi="Poppins" w:cs="Poppins"/>
          <w:b/>
          <w:bCs/>
          <w:sz w:val="21"/>
          <w:szCs w:val="21"/>
        </w:rPr>
        <w:t xml:space="preserve">3. Configurar una demostración funcional</w:t>
      </w:r>
      <w:r>
        <w:rPr>
          <w:rFonts w:ascii="Poppins" w:hAnsi="Poppins" w:cs="Poppins"/>
          <w:sz w:val="21"/>
          <w:szCs w:val="21"/>
        </w:rPr>
        <w:t xml:space="preserve"> del flujo completo con tres casos de uso reales: coordinar el horario de clases con una vacante, armar un contrato a partir de cláusulas y registrar horas y entregables.</w:t>
      </w:r>
    </w:p>
    <w:p>
      <w:pPr>
        <w:spacing w:before="30" w:after="0"/>
        <w:ind w:left="340"/>
        <w:jc w:val="both"/>
      </w:pPr>
      <w:r>
        <w:rPr>
          <w:rFonts w:ascii="Poppins" w:hAnsi="Poppins" w:cs="Poppins"/>
          <w:b/>
          <w:bCs/>
          <w:sz w:val="20"/>
          <w:szCs w:val="20"/>
        </w:rPr>
        <w:t xml:space="preserve">Alcance:</w:t>
      </w:r>
      <w:r>
        <w:rPr>
          <w:rFonts w:ascii="Poppins" w:hAnsi="Poppins" w:cs="Poppins"/>
          <w:sz w:val="20"/>
          <w:szCs w:val="20"/>
        </w:rPr>
        <w:t xml:space="preserve"> Incluye pruebas de interoperabilidad entre las dos aplicaciones y con Word, y pruebas con un grupo piloto de estudiantes, con datos ficticios o públicos y sin información confidencial. Mide el tiempo de búsqueda y de elaboración del borrador.</w:t>
      </w:r>
    </w:p>
    <w:p>
      <w:pPr>
        <w:spacing w:before="100" w:after="0"/>
        <w:jc w:val="both"/>
      </w:pPr>
      <w:r>
        <w:rPr>
          <w:rFonts w:ascii="Poppins" w:hAnsi="Poppins" w:cs="Poppins"/>
          <w:b/>
          <w:bCs/>
          <w:sz w:val="21"/>
          <w:szCs w:val="21"/>
        </w:rPr>
        <w:t xml:space="preserve">4. Elaborar la recomendación final y la guía de adopción</w:t>
      </w:r>
      <w:r>
        <w:rPr>
          <w:rFonts w:ascii="Poppins" w:hAnsi="Poppins" w:cs="Poppins"/>
          <w:sz w:val="21"/>
          <w:szCs w:val="21"/>
        </w:rPr>
        <w:t xml:space="preserve"> en español, y capacitar al grupo piloto en su uso.</w:t>
      </w:r>
    </w:p>
    <w:p>
      <w:pPr>
        <w:spacing w:before="30" w:after="0"/>
        <w:ind w:left="340"/>
        <w:jc w:val="both"/>
      </w:pPr>
      <w:r>
        <w:rPr>
          <w:rFonts w:ascii="Poppins" w:hAnsi="Poppins" w:cs="Poppins"/>
          <w:b/>
          <w:bCs/>
          <w:sz w:val="20"/>
          <w:szCs w:val="20"/>
        </w:rPr>
        <w:t xml:space="preserve">Alcance:</w:t>
      </w:r>
      <w:r>
        <w:rPr>
          <w:rFonts w:ascii="Poppins" w:hAnsi="Poppins" w:cs="Poppins"/>
          <w:sz w:val="20"/>
          <w:szCs w:val="20"/>
        </w:rPr>
        <w:t xml:space="preserve"> Incluye el informe de recomendación sustentado en la matriz y en la demostración, la guía paso a paso y la sesión de capacitación; excluye el soporte posterior a la entrega y la puesta en producción (Fase II).</w:t>
      </w:r>
    </w:p>
    <w:p>
      <w:pPr>
        <w:spacing w:before="100" w:after="0"/>
        <w:ind w:firstLine="425"/>
        <w:jc w:val="both"/>
      </w:pPr>
      <w:r>
        <w:rPr>
          <w:rFonts w:ascii="Poppins" w:hAnsi="Poppins" w:cs="Poppins"/>
          <w:sz w:val="21"/>
          <w:szCs w:val="21"/>
        </w:rPr>
        <w:t xml:space="preserve">Los cuatro objetivos cubren los componentes del sistema de información propuesto: los procesos y los datos (objetivos 1 y 2), el software (objetivo 3) y las personas (objetivo 4).</w:t>
      </w:r>
    </w:p>
    <w:p>
      <w:pPr>
        <w:keepNext/>
        <w:spacing w:before="240" w:after="60"/>
        <w:jc w:val="center"/>
      </w:pPr>
      <w:r>
        <w:rPr>
          <w:rFonts w:ascii="Libre Baskerville" w:hAnsi="Libre Baskerville" w:cs="Poppins"/>
          <w:b/>
          <w:bCs/>
          <w:sz w:val="26"/>
          <w:szCs w:val="26"/>
        </w:rPr>
        <w:t xml:space="preserve">LIMITACIONES</w:t>
      </w:r>
    </w:p>
    <w:p>
      <w:pPr>
        <w:pStyle w:val="Prrafodelista"/>
        <w:numPr>
          <w:ilvl w:val="0"/>
          <w:numId w:val="5"/>
        </w:numPr>
        <w:spacing w:before="60" w:after="0"/>
        <w:ind w:left="567" w:hanging="283"/>
        <w:jc w:val="both"/>
      </w:pPr>
      <w:r>
        <w:rPr>
          <w:rFonts w:ascii="Poppins" w:hAnsi="Poppins" w:cs="Poppins"/>
          <w:sz w:val="21"/>
          <w:szCs w:val="21"/>
        </w:rPr>
        <w:t xml:space="preserve">La documentación del proyecto y la guía de adopción se redactarán </w:t>
      </w:r>
      <w:r>
        <w:rPr>
          <w:rFonts w:ascii="Poppins" w:hAnsi="Poppins" w:cs="Poppins"/>
          <w:b/>
          <w:bCs/>
          <w:sz w:val="21"/>
          <w:szCs w:val="21"/>
        </w:rPr>
        <w:t xml:space="preserve">exclusivamente en español</w:t>
      </w:r>
      <w:r>
        <w:rPr>
          <w:rFonts w:ascii="Poppins" w:hAnsi="Poppins" w:cs="Poppins"/>
          <w:sz w:val="21"/>
          <w:szCs w:val="21"/>
        </w:rPr>
        <w:t xml:space="preserve">.</w:t>
      </w:r>
    </w:p>
    <w:p>
      <w:pPr>
        <w:pStyle w:val="Prrafodelista"/>
        <w:numPr>
          <w:ilvl w:val="0"/>
          <w:numId w:val="5"/>
        </w:numPr>
        <w:spacing w:before="60" w:after="0"/>
        <w:ind w:left="567" w:hanging="283"/>
        <w:jc w:val="both"/>
      </w:pPr>
      <w:r>
        <w:rPr>
          <w:rFonts w:ascii="Poppins" w:hAnsi="Poppins" w:cs="Poppins"/>
          <w:sz w:val="21"/>
          <w:szCs w:val="21"/>
        </w:rPr>
        <w:t xml:space="preserve">El levantamiento de requisitos y el grupo piloto se limitarán a </w:t>
      </w:r>
      <w:r>
        <w:rPr>
          <w:rFonts w:ascii="Poppins" w:hAnsi="Poppins" w:cs="Poppins"/>
          <w:b/>
          <w:bCs/>
          <w:sz w:val="21"/>
          <w:szCs w:val="21"/>
        </w:rPr>
        <w:t xml:space="preserve">estudiantes del noveno y décimo semestre</w:t>
      </w:r>
      <w:r>
        <w:rPr>
          <w:rFonts w:ascii="Poppins" w:hAnsi="Poppins" w:cs="Poppins"/>
          <w:sz w:val="21"/>
          <w:szCs w:val="21"/>
        </w:rPr>
        <w:t xml:space="preserve"> de la Escuela de Derecho de la UCAB, en Venezuela.</w:t>
      </w:r>
    </w:p>
    <w:p>
      <w:pPr>
        <w:pStyle w:val="Prrafodelista"/>
        <w:numPr>
          <w:ilvl w:val="0"/>
          <w:numId w:val="5"/>
        </w:numPr>
        <w:spacing w:before="60" w:after="0"/>
        <w:ind w:left="567" w:hanging="283"/>
        <w:jc w:val="both"/>
      </w:pPr>
      <w:r>
        <w:rPr>
          <w:rFonts w:ascii="Poppins" w:hAnsi="Poppins" w:cs="Poppins"/>
          <w:sz w:val="21"/>
          <w:szCs w:val="21"/>
        </w:rPr>
        <w:t xml:space="preserve">Las pasantías consideradas serán las de </w:t>
      </w:r>
      <w:r>
        <w:rPr>
          <w:rFonts w:ascii="Poppins" w:hAnsi="Poppins" w:cs="Poppins"/>
          <w:b/>
          <w:bCs/>
          <w:sz w:val="21"/>
          <w:szCs w:val="21"/>
        </w:rPr>
        <w:t xml:space="preserve">firmas jurídicas y organizaciones del sector privado</w:t>
      </w:r>
      <w:r>
        <w:rPr>
          <w:rFonts w:ascii="Poppins" w:hAnsi="Poppins" w:cs="Poppins"/>
          <w:sz w:val="21"/>
          <w:szCs w:val="21"/>
        </w:rPr>
        <w:t xml:space="preserve"> venezolano.</w:t>
      </w:r>
    </w:p>
    <w:p>
      <w:pPr>
        <w:pStyle w:val="Prrafodelista"/>
        <w:numPr>
          <w:ilvl w:val="0"/>
          <w:numId w:val="5"/>
        </w:numPr>
        <w:spacing w:before="60" w:after="0"/>
        <w:ind w:left="567" w:hanging="283"/>
        <w:jc w:val="both"/>
      </w:pPr>
      <w:r>
        <w:rPr>
          <w:rFonts w:ascii="Poppins" w:hAnsi="Poppins" w:cs="Poppins"/>
          <w:sz w:val="21"/>
          <w:szCs w:val="21"/>
        </w:rPr>
        <w:t xml:space="preserve">El proyecto se limita a recomendar, configurar e integrar </w:t>
      </w:r>
      <w:r>
        <w:rPr>
          <w:rFonts w:ascii="Poppins" w:hAnsi="Poppins" w:cs="Poppins"/>
          <w:b/>
          <w:bCs/>
          <w:sz w:val="21"/>
          <w:szCs w:val="21"/>
        </w:rPr>
        <w:t xml:space="preserve">soluciones comerciales existentes</w:t>
      </w:r>
      <w:r>
        <w:rPr>
          <w:rFonts w:ascii="Poppins" w:hAnsi="Poppins" w:cs="Poppins"/>
          <w:sz w:val="21"/>
          <w:szCs w:val="21"/>
        </w:rPr>
        <w:t xml:space="preserve"> (LinkedIn Jobs y Spellbook); no incluye desarrollo de código fuente ni software propio.</w:t>
      </w:r>
    </w:p>
    <w:p>
      <w:pPr>
        <w:pStyle w:val="Prrafodelista"/>
        <w:numPr>
          <w:ilvl w:val="0"/>
          <w:numId w:val="5"/>
        </w:numPr>
        <w:spacing w:before="60" w:after="0"/>
        <w:ind w:left="567" w:hanging="283"/>
        <w:jc w:val="both"/>
      </w:pPr>
      <w:r>
        <w:rPr>
          <w:rFonts w:ascii="Poppins" w:hAnsi="Poppins" w:cs="Poppins"/>
          <w:sz w:val="21"/>
          <w:szCs w:val="21"/>
        </w:rPr>
        <w:t xml:space="preserve">No abarca el trabajo presencial en registros, notarías y tribunales, que depende de la administración pública [2].</w:t>
      </w:r>
    </w:p>
    <w:p>
      <w:pPr>
        <w:pStyle w:val="Prrafodelista"/>
        <w:numPr>
          <w:ilvl w:val="0"/>
          <w:numId w:val="5"/>
        </w:numPr>
        <w:spacing w:before="60" w:after="0"/>
        <w:ind w:left="567" w:hanging="283"/>
        <w:jc w:val="both"/>
      </w:pPr>
      <w:r>
        <w:rPr>
          <w:rFonts w:ascii="Poppins" w:hAnsi="Poppins" w:cs="Poppins"/>
          <w:sz w:val="21"/>
          <w:szCs w:val="21"/>
        </w:rPr>
        <w:t xml:space="preserve">La IA actúa como asistente de redacción: la </w:t>
      </w:r>
      <w:r>
        <w:rPr>
          <w:rFonts w:ascii="Poppins" w:hAnsi="Poppins" w:cs="Poppins"/>
          <w:b/>
          <w:bCs/>
          <w:sz w:val="21"/>
          <w:szCs w:val="21"/>
        </w:rPr>
        <w:t xml:space="preserve">validación jurídica final</w:t>
      </w:r>
      <w:r>
        <w:rPr>
          <w:rFonts w:ascii="Poppins" w:hAnsi="Poppins" w:cs="Poppins"/>
          <w:sz w:val="21"/>
          <w:szCs w:val="21"/>
        </w:rPr>
        <w:t xml:space="preserve">, la firma y la responsabilidad legal de los contratos recaen en el estudiante y en el abogado supervisor de la firma.</w:t>
      </w:r>
    </w:p>
    <w:p>
      <w:pPr>
        <w:pStyle w:val="Prrafodelista"/>
        <w:numPr>
          <w:ilvl w:val="0"/>
          <w:numId w:val="5"/>
        </w:numPr>
        <w:spacing w:before="60" w:after="0"/>
        <w:ind w:left="567" w:hanging="283"/>
        <w:jc w:val="both"/>
      </w:pPr>
      <w:r>
        <w:rPr>
          <w:rFonts w:ascii="Poppins" w:hAnsi="Poppins" w:cs="Poppins"/>
          <w:sz w:val="21"/>
          <w:szCs w:val="21"/>
        </w:rPr>
        <w:t xml:space="preserve">El plazo es de </w:t>
      </w:r>
      <w:r>
        <w:rPr>
          <w:rFonts w:ascii="Poppins" w:hAnsi="Poppins" w:cs="Poppins"/>
          <w:b/>
          <w:bCs/>
          <w:sz w:val="21"/>
          <w:szCs w:val="21"/>
        </w:rPr>
        <w:t xml:space="preserve">8 meses</w:t>
      </w:r>
      <w:r>
        <w:rPr>
          <w:rFonts w:ascii="Poppins" w:hAnsi="Poppins" w:cs="Poppins"/>
          <w:sz w:val="21"/>
          <w:szCs w:val="21"/>
        </w:rPr>
        <w:t xml:space="preserve"> (05/10/2026 al 04/06/2027); la puesta en producción (Fase II) queda fuera del alcance.</w:t>
      </w:r>
    </w:p>
    <w:p>
      <w:pPr>
        <w:keepNext/>
        <w:pageBreakBefore/>
        <w:spacing w:before="0" w:after="60"/>
        <w:jc w:val="center"/>
      </w:pPr>
      <w:r>
        <w:rPr>
          <w:rFonts w:ascii="Libre Baskerville" w:hAnsi="Libre Baskerville" w:cs="Poppins"/>
          <w:b/>
          <w:bCs/>
          <w:sz w:val="26"/>
          <w:szCs w:val="26"/>
        </w:rPr>
        <w:t xml:space="preserve">CUADRO DE FACTIBILIDAD</w:t>
      </w:r>
    </w:p>
    <w:p>
      <w:pPr>
        <w:spacing w:before="60" w:after="0"/>
        <w:jc w:val="left"/>
      </w:pPr>
      <w:r>
        <w:rPr>
          <w:rFonts w:ascii="Poppins" w:hAnsi="Poppins" w:cs="Poppins"/>
          <w:color w:val="555555"/>
          <w:sz w:val="19"/>
          <w:szCs w:val="19"/>
        </w:rPr>
        <w:t xml:space="preserve">Escala de 0 a 5; umbral de éxito: 80 %. La escala económica se define en el Apéndice C. Tarifa por hora: $5,93 [13]; 718 horas del equipo en 8 meses (Apéndice A).</w:t>
      </w:r>
    </w:p>
    <w:tbl>
      <w:tblPr>
        <w:tblW w:w="8504" w:type="dxa"/>
        <w:jc w:val="center"/>
        <w:tblLayout w:type="fixed"/>
      </w:tblPr>
      <w:tblGrid>
        <w:gridCol w:w="1250"/>
        <w:gridCol w:w="1500"/>
        <w:gridCol w:w="4534"/>
        <w:gridCol w:w="700"/>
        <w:gridCol w:w="520"/>
      </w:tblGrid>
      <w:tr>
        <w:trPr>
          <w:cantSplit/>
          <w:tblHeader/>
        </w:trPr>
        <w:tc>
          <w:tcPr>
            <w:tcW w:w="2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5"/>
                <w:szCs w:val="15"/>
              </w:rPr>
              <w:t xml:space="preserve">Factibilidad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5"/>
                <w:szCs w:val="15"/>
              </w:rPr>
              <w:t xml:space="preserve">Descripción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5"/>
                <w:szCs w:val="15"/>
              </w:rPr>
              <w:t xml:space="preserve">Escala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5"/>
                <w:szCs w:val="15"/>
              </w:rPr>
              <w:t xml:space="preserve">(0-5)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5"/>
                <w:szCs w:val="15"/>
              </w:rPr>
              <w:t xml:space="preserve">%</w:t>
            </w:r>
          </w:p>
        </w:tc>
      </w:tr>
      <w:tr>
        <w:trPr>
          <w:cantSplit/>
        </w:trPr>
        <w:tc>
          <w:tcPr>
            <w:tcW w:w="12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5"/>
                <w:szCs w:val="15"/>
              </w:rPr>
              <w:t xml:space="preserve">Operacional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5"/>
                <w:szCs w:val="15"/>
              </w:rPr>
              <w:t xml:space="preserve">(40 %)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5"/>
                <w:szCs w:val="15"/>
              </w:rPr>
              <w:t xml:space="preserve">Funcional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5"/>
                <w:szCs w:val="15"/>
              </w:rPr>
              <w:t xml:space="preserve">(20 %)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both"/>
            </w:pPr>
            <w:r>
              <w:rPr>
                <w:rFonts w:ascii="Poppins" w:hAnsi="Poppins" w:cs="Poppins"/>
                <w:sz w:val="15"/>
                <w:szCs w:val="15"/>
              </w:rPr>
              <w:t xml:space="preserve">LinkedIn Jobs filtra por jornada de medio tiempo, modalidad y prácticas [9] y Spellbook asiste el armado de contratos en Word [11]; juntas cubren los problemas 1, 2 y 4 de la Declaración. Brecha: ninguna lee el horario de clases, por lo que el contraste es manual mediante la Ficha de pasantía (puente). Por eso la calificación es 4 y no 5.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9900FF"/>
                <w:sz w:val="15"/>
                <w:szCs w:val="15"/>
              </w:rPr>
              <w:t xml:space="preserve">4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9900FF"/>
                <w:sz w:val="15"/>
                <w:szCs w:val="15"/>
              </w:rPr>
              <w:t xml:space="preserve">16 %</w:t>
            </w:r>
          </w:p>
        </w:tc>
      </w:tr>
      <w:tr>
        <w:trPr>
          <w:cantSplit/>
        </w:trPr>
        <w:tc>
          <w:tcPr>
            <w:tcW w:w="12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5"/>
                <w:szCs w:val="15"/>
              </w:rPr>
              <w:t xml:space="preserve">Política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5"/>
                <w:szCs w:val="15"/>
              </w:rPr>
              <w:t xml:space="preserve">(20 %)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both"/>
            </w:pPr>
            <w:r>
              <w:rPr>
                <w:rFonts w:ascii="Poppins" w:hAnsi="Poppins" w:cs="Poppins"/>
                <w:sz w:val="15"/>
                <w:szCs w:val="15"/>
              </w:rPr>
              <w:t xml:space="preserve">Se asume que los estudiantes ya usan Word y LinkedIn (se confirmará con el cuestionario del Análisis), lo que reduce la curva de aprendizaje. Riesgo: desconfianza hacia la IA para redactar; se mitiga con la capacitación (objetivo 4) y con la validación del abogado supervisor.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9900FF"/>
                <w:sz w:val="15"/>
                <w:szCs w:val="15"/>
              </w:rPr>
              <w:t xml:space="preserve">4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9900FF"/>
                <w:sz w:val="15"/>
                <w:szCs w:val="15"/>
              </w:rPr>
              <w:t xml:space="preserve">16 %</w:t>
            </w:r>
          </w:p>
        </w:tc>
      </w:tr>
      <w:tr>
        <w:trPr>
          <w:cantSplit/>
        </w:trPr>
        <w:tc>
          <w:tcPr>
            <w:tcW w:w="12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5"/>
                <w:szCs w:val="15"/>
              </w:rPr>
              <w:t xml:space="preserve">Técnica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5"/>
                <w:szCs w:val="15"/>
              </w:rPr>
              <w:t xml:space="preserve">(30 %)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5"/>
                <w:szCs w:val="15"/>
              </w:rPr>
              <w:t xml:space="preserve">Recursos de TI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5"/>
                <w:szCs w:val="15"/>
              </w:rPr>
              <w:t xml:space="preserve">(15 %)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both"/>
            </w:pPr>
            <w:r>
              <w:rPr>
                <w:rFonts w:ascii="Poppins" w:hAnsi="Poppins" w:cs="Poppins"/>
                <w:sz w:val="15"/>
                <w:szCs w:val="15"/>
              </w:rPr>
              <w:t xml:space="preserve">No se requieren conectores, APIs ni servidores: la integración ocurre en el flujo de valor (Figura 1). Se necesitan laptops con internet y una licencia de Microsoft Word (Office Home 2024, pago único de $179,99 [16]), incluida en el costo de desarrollo.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9900FF"/>
                <w:sz w:val="15"/>
                <w:szCs w:val="15"/>
              </w:rPr>
              <w:t xml:space="preserve">5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9900FF"/>
                <w:sz w:val="15"/>
                <w:szCs w:val="15"/>
              </w:rPr>
              <w:t xml:space="preserve">15 %</w:t>
            </w:r>
          </w:p>
        </w:tc>
      </w:tr>
      <w:tr>
        <w:trPr>
          <w:cantSplit/>
        </w:trPr>
        <w:tc>
          <w:tcPr>
            <w:tcW w:w="12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5"/>
                <w:szCs w:val="15"/>
              </w:rPr>
              <w:t xml:space="preserve">RR. HH.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5"/>
                <w:szCs w:val="15"/>
              </w:rPr>
              <w:t xml:space="preserve">(15 %)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both"/>
            </w:pPr>
            <w:r>
              <w:rPr>
                <w:rFonts w:ascii="Poppins" w:hAnsi="Poppins" w:cs="Poppins"/>
                <w:sz w:val="15"/>
                <w:szCs w:val="15"/>
              </w:rPr>
              <w:t xml:space="preserve">Los tres integrantes cubren análisis, arquitectura y desarrollo, con competencias para la investigación de campo, la comparación de herramientas y la validación con el grupo piloto. No tienen experiencia previa en IA jurídica ni en derecho venezolano; se compensa con autoformación y entrevistas a estudiantes de Derecho.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9900FF"/>
                <w:sz w:val="15"/>
                <w:szCs w:val="15"/>
              </w:rPr>
              <w:t xml:space="preserve">4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9900FF"/>
                <w:sz w:val="15"/>
                <w:szCs w:val="15"/>
              </w:rPr>
              <w:t xml:space="preserve">12 %</w:t>
            </w:r>
          </w:p>
        </w:tc>
      </w:tr>
      <w:tr>
        <w:trPr>
          <w:cantSplit/>
        </w:trPr>
        <w:tc>
          <w:tcPr>
            <w:tcW w:w="12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5"/>
                <w:szCs w:val="15"/>
              </w:rPr>
              <w:t xml:space="preserve">Económica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5"/>
                <w:szCs w:val="15"/>
              </w:rPr>
              <w:t xml:space="preserve">(30 %)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5"/>
                <w:szCs w:val="15"/>
              </w:rPr>
              <w:t xml:space="preserve">Costo total de desarrollo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5"/>
                <w:szCs w:val="15"/>
              </w:rPr>
              <w:t xml:space="preserve">(20 %)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both"/>
            </w:pPr>
            <w:r>
              <w:rPr>
                <w:rFonts w:ascii="Poppins" w:hAnsi="Poppins" w:cs="Poppins"/>
                <w:sz w:val="15"/>
                <w:szCs w:val="15"/>
              </w:rPr>
              <w:t xml:space="preserve">718 h × $5,93/h = $4.257,74; Spellbook, 3 meses × $79,00 = $237,00 (rango de mercado de $20 a $99 al mes [12]); Word, $179,99; LinkedIn Jobs es gratuito. </w:t>
            </w:r>
            <w:r>
              <w:rPr>
                <w:rFonts w:ascii="Poppins" w:hAnsi="Poppins" w:cs="Poppins"/>
                <w:b/>
                <w:bCs/>
                <w:sz w:val="15"/>
                <w:szCs w:val="15"/>
              </w:rPr>
              <w:t xml:space="preserve">Total: $4.674,73</w:t>
            </w:r>
            <w:r>
              <w:rPr>
                <w:rFonts w:ascii="Poppins" w:hAnsi="Poppins" w:cs="Poppins"/>
                <w:sz w:val="15"/>
                <w:szCs w:val="15"/>
              </w:rPr>
              <w:t xml:space="preserve">, que equivale al 93,5 % del presupuesto de referencia de $5.000,00 (criterio del equipo). Ver Apéndice C.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9900FF"/>
                <w:sz w:val="15"/>
                <w:szCs w:val="15"/>
              </w:rPr>
              <w:t xml:space="preserve">4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9900FF"/>
                <w:sz w:val="15"/>
                <w:szCs w:val="15"/>
              </w:rPr>
              <w:t xml:space="preserve">16 %</w:t>
            </w:r>
          </w:p>
        </w:tc>
      </w:tr>
      <w:tr>
        <w:trPr>
          <w:cantSplit/>
        </w:trPr>
        <w:tc>
          <w:tcPr>
            <w:tcW w:w="12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5"/>
                <w:szCs w:val="15"/>
              </w:rPr>
              <w:t xml:space="preserve">Costo esperado de mantenimiento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5"/>
                <w:szCs w:val="15"/>
              </w:rPr>
              <w:t xml:space="preserve">(10 %)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both"/>
            </w:pPr>
            <w:r>
              <w:rPr>
                <w:rFonts w:ascii="Poppins" w:hAnsi="Poppins" w:cs="Poppins"/>
                <w:sz w:val="15"/>
                <w:szCs w:val="15"/>
              </w:rPr>
              <w:t xml:space="preserve">Por estudiante y por trimestre (las 240 h de pasantía se completan en unos 3 meses [5]): Spellbook, 3 × $79,00 = $237,00, más 6 h de mantenimiento (2 h al mes) × $5,93 = $35,58. </w:t>
            </w:r>
            <w:r>
              <w:rPr>
                <w:rFonts w:ascii="Poppins" w:hAnsi="Poppins" w:cs="Poppins"/>
                <w:b/>
                <w:bCs/>
                <w:sz w:val="15"/>
                <w:szCs w:val="15"/>
              </w:rPr>
              <w:t xml:space="preserve">Total: $272,58</w:t>
            </w:r>
            <w:r>
              <w:rPr>
                <w:rFonts w:ascii="Poppins" w:hAnsi="Poppins" w:cs="Poppins"/>
                <w:sz w:val="15"/>
                <w:szCs w:val="15"/>
              </w:rPr>
              <w:t xml:space="preserve">, el 90,9 % del presupuesto de referencia de $300,00 por usuario y trimestre (criterio del equipo).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9900FF"/>
                <w:sz w:val="15"/>
                <w:szCs w:val="15"/>
              </w:rPr>
              <w:t xml:space="preserve">4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9900FF"/>
                <w:sz w:val="15"/>
                <w:szCs w:val="15"/>
              </w:rPr>
              <w:t xml:space="preserve">8 %</w:t>
            </w:r>
          </w:p>
        </w:tc>
      </w:tr>
      <w:tr>
        <w:trPr>
          <w:cantSplit/>
        </w:trPr>
        <w:tc>
          <w:tcPr>
            <w:tcW w:w="7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Poppins" w:hAnsi="Poppins" w:cs="Poppins"/>
                <w:b/>
                <w:bCs/>
                <w:sz w:val="15"/>
                <w:szCs w:val="15"/>
              </w:rPr>
              <w:t xml:space="preserve">Total estimado de factibilidad del proyecto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9900FF"/>
                <w:sz w:val="15"/>
                <w:szCs w:val="15"/>
              </w:rPr>
              <w:t xml:space="preserve">25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9900FF"/>
                <w:sz w:val="15"/>
                <w:szCs w:val="15"/>
              </w:rPr>
              <w:t xml:space="preserve">83 %</w:t>
            </w:r>
          </w:p>
        </w:tc>
      </w:tr>
    </w:tbl>
    <w:p>
      <w:pPr>
        <w:spacing w:before="0" w:after="0" w:line="120" w:lineRule="exact"/>
      </w:pPr>
    </w:p>
    <w:p>
      <w:pPr>
        <w:spacing w:before="60" w:after="0"/>
        <w:jc w:val="both"/>
      </w:pPr>
      <w:r>
        <w:rPr>
          <w:rFonts w:ascii="Poppins" w:hAnsi="Poppins" w:cs="Poppins"/>
          <w:sz w:val="20"/>
          <w:szCs w:val="20"/>
        </w:rPr>
        <w:t xml:space="preserve">El resultado (83 %) supera el umbral del 80 %, con un margen de tres puntos que depende de la cotización definitiva de Spellbook, cuyo precio se confirma con el proveedor [12].</w:t>
      </w:r>
    </w:p>
    <w:p>
      <w:pPr>
        <w:keepNext/>
        <w:spacing w:before="240" w:after="60"/>
        <w:jc w:val="center"/>
      </w:pPr>
      <w:r>
        <w:rPr>
          <w:rFonts w:ascii="Libre Baskerville" w:hAnsi="Libre Baskerville" w:cs="Poppins"/>
          <w:b/>
          <w:bCs/>
          <w:sz w:val="26"/>
          <w:szCs w:val="26"/>
        </w:rPr>
        <w:t xml:space="preserve">MODELO DE DESARROLLO Y ESQUEMA CVDS</w:t>
      </w:r>
    </w:p>
    <w:p>
      <w:pPr>
        <w:spacing w:before="110" w:after="0"/>
        <w:ind w:firstLine="425"/>
        <w:jc w:val="both"/>
      </w:pPr>
      <w:r>
        <w:rPr>
          <w:rFonts w:ascii="Poppins" w:hAnsi="Poppins" w:cs="Poppins"/>
          <w:sz w:val="21"/>
          <w:szCs w:val="21"/>
        </w:rPr>
        <w:t xml:space="preserve">Scriptify adoptará el </w:t>
      </w:r>
      <w:r>
        <w:rPr>
          <w:rFonts w:ascii="Poppins" w:hAnsi="Poppins" w:cs="Poppins"/>
          <w:b/>
          <w:bCs/>
          <w:sz w:val="21"/>
          <w:szCs w:val="21"/>
        </w:rPr>
        <w:t xml:space="preserve">modelo en cascada con subproyectos</w:t>
      </w:r>
      <w:r>
        <w:rPr>
          <w:rFonts w:ascii="Poppins" w:hAnsi="Poppins" w:cs="Poppins"/>
          <w:sz w:val="21"/>
          <w:szCs w:val="21"/>
        </w:rPr>
        <w:t xml:space="preserve"> [17] [18]. Se justifica porque (a) el trabajo consiste en evaluar y configurar productos comerciales, cuyos requisitos pueden definirse antes de elegir; (b) los dos componentes son técnicamente independientes y se trabajan en paralelo por parejas distintas, lo que acorta el plazo de 8 meses; y (c) al terminar se integran en un único flujo de valor. A diferencia de una cascada pura, los estudiantes del mercado participan desde el Análisis y en cada iteración, para detectar rechazo o fallas de interoperabilidad antes de la Transición. Los requisitos se documentarán con análisis estructurado de procesos y casos de uso, y el SRS seguirá el estándar ISO/IEC/IEEE 29148.</w:t>
      </w:r>
    </w:p>
    <w:p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725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d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/>
        <w:jc w:val="center"/>
      </w:pPr>
      <w:r>
        <w:rPr>
          <w:rFonts w:ascii="Poppins" w:hAnsi="Poppins" w:cs="Poppins"/>
          <w:i/>
          <w:iCs/>
          <w:color w:val="555555"/>
          <w:sz w:val="16"/>
          <w:szCs w:val="16"/>
        </w:rPr>
        <w:t xml:space="preserve">Figura 2. Esquema del ciclo de vida del proyecto (elaboración propia de Scriptify).</w:t>
      </w:r>
    </w:p>
    <w:tbl>
      <w:tblPr>
        <w:tblW w:w="8504" w:type="dxa"/>
        <w:jc w:val="center"/>
        <w:tblLayout w:type="fixed"/>
      </w:tblPr>
      <w:tblGrid>
        <w:gridCol w:w="2300"/>
        <w:gridCol w:w="6204"/>
      </w:tblGrid>
      <w:tr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Descripción y producto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Inicio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Define mercado, oportunidad, solución, objetivos y factibilidad. Producto: Documento de Visión.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Análisis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Levantamiento de requisitos con los estudiantes (revisión documental, entrevistas y cuestionarios cerrados). Producto: SRS.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Diseño Global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Criterios y pesos de la matriz de evaluación, flujo de valor y plan de pruebas. Producto: matriz y diseño del flujo.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Subproyectos 1 y 2</w:t>
            </w:r>
          </w:p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(Iteración 1)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Cada pareja configura la demostración de su aplicación (Spellbook; LinkedIn Jobs) y registra tiempos y dificultades.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Subproyectos 1 y 2</w:t>
            </w:r>
          </w:p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(Iteración 2)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Prueba con estudiantes del grupo piloto, ajustes y capacitación en el uso de cada aplicación. Producto: aplicación configurada y guía de uso.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Integración del flujo de valor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Construcción del puente (Ficha de pasantía) y pruebas de interoperabilidad entre las dos aplicaciones y con Word. Producto: demostración completa.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Transición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Entrega de la recomendación final y la guía de adopción y cierre del proyecto. La puesta en producción (Fase II) queda fuera del alcance.</w:t>
            </w:r>
          </w:p>
        </w:tc>
      </w:tr>
    </w:tbl>
    <w:p>
      <w:pPr>
        <w:spacing w:before="0" w:after="0" w:line="120" w:lineRule="exact"/>
      </w:pPr>
    </w:p>
    <w:p>
      <w:pPr>
        <w:spacing w:before="60" w:after="0"/>
        <w:jc w:val="both"/>
      </w:pPr>
      <w:r>
        <w:rPr>
          <w:rFonts w:ascii="Poppins" w:hAnsi="Poppins" w:cs="Poppins"/>
          <w:sz w:val="20"/>
          <w:szCs w:val="20"/>
        </w:rPr>
        <w:t xml:space="preserve">La planificación completa (8 meses, 718 horas) y su desglose por etapa figuran en los Apéndices A y B. Los roles son: Bruno Yauripoma, Analista; Germán Moreno, Arquitecto de Software; y Fabián Silva, Desarrollador.</w:t>
      </w:r>
    </w:p>
    <w:p>
      <w:pPr>
        <w:keepNext/>
        <w:pageBreakBefore/>
        <w:spacing w:before="0" w:after="60"/>
        <w:jc w:val="center"/>
      </w:pPr>
      <w:r>
        <w:rPr>
          <w:rFonts w:ascii="Libre Baskerville" w:hAnsi="Libre Baskerville" w:cs="Poppins"/>
          <w:b/>
          <w:bCs/>
          <w:sz w:val="26"/>
          <w:szCs w:val="26"/>
        </w:rPr>
        <w:t xml:space="preserve">REFERENCIAS</w:t>
      </w:r>
    </w:p>
    <w:p>
      <w:pPr>
        <w:spacing w:before="70" w:after="0"/>
        <w:ind w:left="567" w:hanging="567"/>
        <w:jc w:val="left"/>
      </w:pPr>
      <w:r>
        <w:rPr>
          <w:rFonts w:ascii="Poppins" w:hAnsi="Poppins" w:cs="Poppins"/>
          <w:sz w:val="17"/>
          <w:szCs w:val="17"/>
        </w:rPr>
        <w:t xml:space="preserve">[1] Escuela de Derecho, UCAB (2023). </w:t>
      </w:r>
      <w:r>
        <w:rPr>
          <w:rFonts w:ascii="Poppins" w:hAnsi="Poppins" w:cs="Poppins"/>
          <w:i/>
          <w:iCs/>
          <w:sz w:val="17"/>
          <w:szCs w:val="17"/>
        </w:rPr>
        <w:t xml:space="preserve">Pensum de la Carrera de Derecho.</w:t>
      </w:r>
      <w:r>
        <w:rPr>
          <w:rFonts w:ascii="Poppins" w:hAnsi="Poppins" w:cs="Poppins"/>
          <w:sz w:val="17"/>
          <w:szCs w:val="17"/>
        </w:rPr>
        <w:t xml:space="preserve"> https://www.ucab.edu.ve/wp-content/uploads/2023/07/Derecho-30-05-2023-.pdf</w:t>
      </w:r>
    </w:p>
    <w:p>
      <w:pPr>
        <w:spacing w:before="70" w:after="0"/>
        <w:ind w:left="567" w:hanging="567"/>
        <w:jc w:val="left"/>
      </w:pPr>
      <w:r>
        <w:rPr>
          <w:rFonts w:ascii="Poppins" w:hAnsi="Poppins" w:cs="Poppins"/>
          <w:sz w:val="17"/>
          <w:szCs w:val="17"/>
        </w:rPr>
        <w:t xml:space="preserve">[2] Ángel, S. y Palacios, D. (2026, 16 de octubre). </w:t>
      </w:r>
      <w:r>
        <w:rPr>
          <w:rFonts w:ascii="Poppins" w:hAnsi="Poppins" w:cs="Poppins"/>
          <w:i/>
          <w:iCs/>
          <w:sz w:val="17"/>
          <w:szCs w:val="17"/>
        </w:rPr>
        <w:t xml:space="preserve">Entrevista con estudiantes de último año de Derecho</w:t>
      </w:r>
      <w:r>
        <w:rPr>
          <w:rFonts w:ascii="Poppins" w:hAnsi="Poppins" w:cs="Poppins"/>
          <w:sz w:val="17"/>
          <w:szCs w:val="17"/>
        </w:rPr>
        <w:t xml:space="preserve"> [Comunicación personal; audio y transcripción]. https://drive.google.com/drive/folders/1NkRD80UPWOtX5S2B8PPBXbnxLuJxZsgA?usp=sharing</w:t>
      </w:r>
    </w:p>
    <w:p>
      <w:pPr>
        <w:spacing w:before="70" w:after="0"/>
        <w:ind w:left="567" w:hanging="567"/>
        <w:jc w:val="left"/>
      </w:pPr>
      <w:r>
        <w:rPr>
          <w:rFonts w:ascii="Poppins" w:hAnsi="Poppins" w:cs="Poppins"/>
          <w:sz w:val="17"/>
          <w:szCs w:val="17"/>
        </w:rPr>
        <w:t xml:space="preserve">[3] Comisión Internacional de Juristas. (2022). </w:t>
      </w:r>
      <w:r>
        <w:rPr>
          <w:rFonts w:ascii="Poppins" w:hAnsi="Poppins" w:cs="Poppins"/>
          <w:i/>
          <w:iCs/>
          <w:sz w:val="17"/>
          <w:szCs w:val="17"/>
        </w:rPr>
        <w:t xml:space="preserve">Abogados bajo ataque. Barreras a la profesión legal en Venezuela.</w:t>
      </w:r>
      <w:r>
        <w:rPr>
          <w:rFonts w:ascii="Poppins" w:hAnsi="Poppins" w:cs="Poppins"/>
          <w:sz w:val="17"/>
          <w:szCs w:val="17"/>
        </w:rPr>
        <w:t xml:space="preserve"> https://www.justiciayverdad.org/wp-content/uploads/2022/06/Venezuela-Lawyers-under-attack-publications-briefing-paper-2022-SPA.pdf</w:t>
      </w:r>
    </w:p>
    <w:p>
      <w:pPr>
        <w:spacing w:before="70" w:after="0"/>
        <w:ind w:left="567" w:hanging="567"/>
        <w:jc w:val="left"/>
      </w:pPr>
      <w:r>
        <w:rPr>
          <w:rFonts w:ascii="Poppins" w:hAnsi="Poppins" w:cs="Poppins"/>
          <w:sz w:val="17"/>
          <w:szCs w:val="17"/>
        </w:rPr>
        <w:t xml:space="preserve">[4] Ámbito, RD. (2026, 13 de agosto). </w:t>
      </w:r>
      <w:r>
        <w:rPr>
          <w:rFonts w:ascii="Poppins" w:hAnsi="Poppins" w:cs="Poppins"/>
          <w:i/>
          <w:iCs/>
          <w:sz w:val="17"/>
          <w:szCs w:val="17"/>
        </w:rPr>
        <w:t xml:space="preserve">¡Emergencia energética! Venezuela recorta el horario público por histórico déficit de electricidad.</w:t>
      </w:r>
      <w:r>
        <w:rPr>
          <w:rFonts w:ascii="Poppins" w:hAnsi="Poppins" w:cs="Poppins"/>
          <w:sz w:val="17"/>
          <w:szCs w:val="17"/>
        </w:rPr>
        <w:t xml:space="preserve"> https://ambitord.com/2026/08/13/emergencia-energetica-venezuela-recorta-el-horario-publico-por-historico-deficit-de-electricidad/</w:t>
      </w:r>
    </w:p>
    <w:p>
      <w:pPr>
        <w:spacing w:before="70" w:after="0"/>
        <w:ind w:left="567" w:hanging="567"/>
        <w:jc w:val="left"/>
      </w:pPr>
      <w:r>
        <w:rPr>
          <w:rFonts w:ascii="Poppins" w:hAnsi="Poppins" w:cs="Poppins"/>
          <w:sz w:val="17"/>
          <w:szCs w:val="17"/>
        </w:rPr>
        <w:t xml:space="preserve">[5] Escuela de Derecho, UCAB (s. f.). </w:t>
      </w:r>
      <w:r>
        <w:rPr>
          <w:rFonts w:ascii="Poppins" w:hAnsi="Poppins" w:cs="Poppins"/>
          <w:i/>
          <w:iCs/>
          <w:sz w:val="17"/>
          <w:szCs w:val="17"/>
        </w:rPr>
        <w:t xml:space="preserve">Página de Pasantías de la Escuela.</w:t>
      </w:r>
      <w:r>
        <w:rPr>
          <w:rFonts w:ascii="Poppins" w:hAnsi="Poppins" w:cs="Poppins"/>
          <w:sz w:val="17"/>
          <w:szCs w:val="17"/>
        </w:rPr>
        <w:t xml:space="preserve"> https://derecho.ucab.edu.ve/escuela/conexion-profesional/sede-caracas-y-guayana/pasantias/</w:t>
      </w:r>
    </w:p>
    <w:p>
      <w:pPr>
        <w:spacing w:before="70" w:after="0"/>
        <w:ind w:left="567" w:hanging="567"/>
        <w:jc w:val="left"/>
      </w:pPr>
      <w:r>
        <w:rPr>
          <w:rFonts w:ascii="Poppins" w:hAnsi="Poppins" w:cs="Poppins"/>
          <w:sz w:val="17"/>
          <w:szCs w:val="17"/>
        </w:rPr>
        <w:t xml:space="preserve">[6] Cardoso, L. (2026). </w:t>
      </w:r>
      <w:r>
        <w:rPr>
          <w:rFonts w:ascii="Poppins" w:hAnsi="Poppins" w:cs="Poppins"/>
          <w:i/>
          <w:iCs/>
          <w:sz w:val="17"/>
          <w:szCs w:val="17"/>
        </w:rPr>
        <w:t xml:space="preserve">Legal Tech</w:t>
      </w:r>
      <w:r>
        <w:rPr>
          <w:rFonts w:ascii="Poppins" w:hAnsi="Poppins" w:cs="Poppins"/>
          <w:sz w:val="17"/>
          <w:szCs w:val="17"/>
        </w:rPr>
        <w:t xml:space="preserve"> [Enunciado del proyecto, Ingeniería de Requisitos]. Universidad Católica Andrés Bello.</w:t>
      </w:r>
    </w:p>
    <w:p>
      <w:pPr>
        <w:spacing w:before="70" w:after="0"/>
        <w:ind w:left="567" w:hanging="567"/>
        <w:jc w:val="left"/>
      </w:pPr>
      <w:r>
        <w:rPr>
          <w:rFonts w:ascii="Poppins" w:hAnsi="Poppins" w:cs="Poppins"/>
          <w:sz w:val="17"/>
          <w:szCs w:val="17"/>
        </w:rPr>
        <w:t xml:space="preserve">[7] Docusign. (2023). </w:t>
      </w:r>
      <w:r>
        <w:rPr>
          <w:rFonts w:ascii="Poppins" w:hAnsi="Poppins" w:cs="Poppins"/>
          <w:i/>
          <w:iCs/>
          <w:sz w:val="17"/>
          <w:szCs w:val="17"/>
        </w:rPr>
        <w:t xml:space="preserve">Cómo la automatización de contratos impulsa la precisión y la eficacia.</w:t>
      </w:r>
      <w:r>
        <w:rPr>
          <w:rFonts w:ascii="Poppins" w:hAnsi="Poppins" w:cs="Poppins"/>
          <w:sz w:val="17"/>
          <w:szCs w:val="17"/>
        </w:rPr>
        <w:t xml:space="preserve"> https://www.docusign.com/es-mx/blog/automatizacion-de-contratos</w:t>
      </w:r>
    </w:p>
    <w:p>
      <w:pPr>
        <w:spacing w:before="70" w:after="0"/>
        <w:ind w:left="567" w:hanging="567"/>
        <w:jc w:val="left"/>
      </w:pPr>
      <w:r>
        <w:rPr>
          <w:rFonts w:ascii="Poppins" w:hAnsi="Poppins" w:cs="Poppins"/>
          <w:sz w:val="17"/>
          <w:szCs w:val="17"/>
        </w:rPr>
        <w:t xml:space="preserve">[8] Escuela de Derecho, UCAB. (2026). </w:t>
      </w:r>
      <w:r>
        <w:rPr>
          <w:rFonts w:ascii="Poppins" w:hAnsi="Poppins" w:cs="Poppins"/>
          <w:i/>
          <w:iCs/>
          <w:sz w:val="17"/>
          <w:szCs w:val="17"/>
        </w:rPr>
        <w:t xml:space="preserve">Horarios académicos.</w:t>
      </w:r>
      <w:r>
        <w:rPr>
          <w:rFonts w:ascii="Poppins" w:hAnsi="Poppins" w:cs="Poppins"/>
          <w:sz w:val="17"/>
          <w:szCs w:val="17"/>
        </w:rPr>
        <w:t xml:space="preserve"> https://drive.google.com/drive/folders/1glvxEV5rnM3PpzRfxqVer5pZlc5bXBut?usp=sharing</w:t>
      </w:r>
    </w:p>
    <w:p>
      <w:pPr>
        <w:spacing w:before="70" w:after="0"/>
        <w:ind w:left="567" w:hanging="567"/>
        <w:jc w:val="left"/>
      </w:pPr>
      <w:r>
        <w:rPr>
          <w:rFonts w:ascii="Poppins" w:hAnsi="Poppins" w:cs="Poppins"/>
          <w:sz w:val="17"/>
          <w:szCs w:val="17"/>
        </w:rPr>
        <w:t xml:space="preserve">[9] Aula CM. (s. f.). </w:t>
      </w:r>
      <w:r>
        <w:rPr>
          <w:rFonts w:ascii="Poppins" w:hAnsi="Poppins" w:cs="Poppins"/>
          <w:i/>
          <w:iCs/>
          <w:sz w:val="17"/>
          <w:szCs w:val="17"/>
        </w:rPr>
        <w:t xml:space="preserve">LinkedIn: qué es, para qué sirve y cómo funciona.</w:t>
      </w:r>
      <w:r>
        <w:rPr>
          <w:rFonts w:ascii="Poppins" w:hAnsi="Poppins" w:cs="Poppins"/>
          <w:sz w:val="17"/>
          <w:szCs w:val="17"/>
        </w:rPr>
        <w:t xml:space="preserve"> https://aulacm.com/que-es/linkedin-que-es-para-que-sirve-y-como-funciona/</w:t>
      </w:r>
    </w:p>
    <w:p>
      <w:pPr>
        <w:spacing w:before="70" w:after="0"/>
        <w:ind w:left="567" w:hanging="567"/>
        <w:jc w:val="left"/>
      </w:pPr>
      <w:r>
        <w:rPr>
          <w:rFonts w:ascii="Poppins" w:hAnsi="Poppins" w:cs="Poppins"/>
          <w:sz w:val="17"/>
          <w:szCs w:val="17"/>
        </w:rPr>
        <w:t xml:space="preserve">[10] Stryker, C. (2021). </w:t>
      </w:r>
      <w:r>
        <w:rPr>
          <w:rFonts w:ascii="Poppins" w:hAnsi="Poppins" w:cs="Poppins"/>
          <w:i/>
          <w:iCs/>
          <w:sz w:val="17"/>
          <w:szCs w:val="17"/>
        </w:rPr>
        <w:t xml:space="preserve">¿Qué son los grandes modelos de lenguaje (LLM)?</w:t>
      </w:r>
      <w:r>
        <w:rPr>
          <w:rFonts w:ascii="Poppins" w:hAnsi="Poppins" w:cs="Poppins"/>
          <w:sz w:val="17"/>
          <w:szCs w:val="17"/>
        </w:rPr>
        <w:t xml:space="preserve"> https://www.ibm.com/es-es/think/topics/large-language-models</w:t>
      </w:r>
    </w:p>
    <w:p>
      <w:pPr>
        <w:spacing w:before="70" w:after="0"/>
        <w:ind w:left="567" w:hanging="567"/>
        <w:jc w:val="left"/>
      </w:pPr>
      <w:r>
        <w:rPr>
          <w:rFonts w:ascii="Poppins" w:hAnsi="Poppins" w:cs="Poppins"/>
          <w:sz w:val="17"/>
          <w:szCs w:val="17"/>
        </w:rPr>
        <w:t xml:space="preserve">[11] Automate &amp; Tweak. (s. f.). </w:t>
      </w:r>
      <w:r>
        <w:rPr>
          <w:rFonts w:ascii="Poppins" w:hAnsi="Poppins" w:cs="Poppins"/>
          <w:i/>
          <w:iCs/>
          <w:sz w:val="17"/>
          <w:szCs w:val="17"/>
        </w:rPr>
        <w:t xml:space="preserve">¿Qué es Spellbook?</w:t>
      </w:r>
      <w:r>
        <w:rPr>
          <w:rFonts w:ascii="Poppins" w:hAnsi="Poppins" w:cs="Poppins"/>
          <w:sz w:val="17"/>
          <w:szCs w:val="17"/>
        </w:rPr>
        <w:t xml:space="preserve"> https://automateandtweak.com/es/herramienta/spellbook/</w:t>
      </w:r>
    </w:p>
    <w:p>
      <w:pPr>
        <w:spacing w:before="70" w:after="0"/>
        <w:ind w:left="567" w:hanging="567"/>
        <w:jc w:val="left"/>
      </w:pPr>
      <w:r>
        <w:rPr>
          <w:rFonts w:ascii="Poppins" w:hAnsi="Poppins" w:cs="Poppins"/>
          <w:sz w:val="17"/>
          <w:szCs w:val="17"/>
        </w:rPr>
        <w:t xml:space="preserve">[12] Jean-Philippe, J. (2026). </w:t>
      </w:r>
      <w:r>
        <w:rPr>
          <w:rFonts w:ascii="Poppins" w:hAnsi="Poppins" w:cs="Poppins"/>
          <w:i/>
          <w:iCs/>
          <w:sz w:val="17"/>
          <w:szCs w:val="17"/>
        </w:rPr>
        <w:t xml:space="preserve">Spellbook pricing in 2026: What it actually costs (reported tiers, verified contract data, and the math).</w:t>
      </w:r>
      <w:r>
        <w:rPr>
          <w:rFonts w:ascii="Poppins" w:hAnsi="Poppins" w:cs="Poppins"/>
          <w:sz w:val="17"/>
          <w:szCs w:val="17"/>
        </w:rPr>
        <w:t xml:space="preserve"> https://thelegalprompts.com/blog/spellbook-pricing</w:t>
      </w:r>
    </w:p>
    <w:p>
      <w:pPr>
        <w:spacing w:before="70" w:after="0"/>
        <w:ind w:left="567" w:hanging="567"/>
        <w:jc w:val="left"/>
      </w:pPr>
      <w:r>
        <w:rPr>
          <w:rFonts w:ascii="Poppins" w:hAnsi="Poppins" w:cs="Poppins"/>
          <w:sz w:val="17"/>
          <w:szCs w:val="17"/>
        </w:rPr>
        <w:t xml:space="preserve">[13] Colegio de Ingenieros de Venezuela. (2025). </w:t>
      </w:r>
      <w:r>
        <w:rPr>
          <w:rFonts w:ascii="Poppins" w:hAnsi="Poppins" w:cs="Poppins"/>
          <w:i/>
          <w:iCs/>
          <w:sz w:val="17"/>
          <w:szCs w:val="17"/>
        </w:rPr>
        <w:t xml:space="preserve">Salario mínimo neto del ingeniero</w:t>
      </w:r>
      <w:r>
        <w:rPr>
          <w:rFonts w:ascii="Poppins" w:hAnsi="Poppins" w:cs="Poppins"/>
          <w:sz w:val="17"/>
          <w:szCs w:val="17"/>
        </w:rPr>
        <w:t xml:space="preserve"> [Tabulador, junio de 2025]. https://es.scribd.com/document/884363371/Tabulador-del-Colegio-de-Ingenieros-de-Venezuela-de-Junio-2025</w:t>
      </w:r>
    </w:p>
    <w:p>
      <w:pPr>
        <w:spacing w:before="70" w:after="0"/>
        <w:ind w:left="567" w:hanging="567"/>
        <w:jc w:val="left"/>
      </w:pPr>
      <w:r>
        <w:rPr>
          <w:rFonts w:ascii="Poppins" w:hAnsi="Poppins" w:cs="Poppins"/>
          <w:sz w:val="17"/>
          <w:szCs w:val="17"/>
        </w:rPr>
        <w:t xml:space="preserve">[14] Spellbook. (s. f.). </w:t>
      </w:r>
      <w:r>
        <w:rPr>
          <w:rFonts w:ascii="Poppins" w:hAnsi="Poppins" w:cs="Poppins"/>
          <w:i/>
          <w:iCs/>
          <w:sz w:val="17"/>
          <w:szCs w:val="17"/>
        </w:rPr>
        <w:t xml:space="preserve">Spellbook: AI contract drafting and review.</w:t>
      </w:r>
      <w:r>
        <w:rPr>
          <w:rFonts w:ascii="Poppins" w:hAnsi="Poppins" w:cs="Poppins"/>
          <w:sz w:val="17"/>
          <w:szCs w:val="17"/>
        </w:rPr>
        <w:t xml:space="preserve"> https://www.spellbook.com</w:t>
      </w:r>
    </w:p>
    <w:p>
      <w:pPr>
        <w:spacing w:before="70" w:after="0"/>
        <w:ind w:left="567" w:hanging="567"/>
        <w:jc w:val="left"/>
      </w:pPr>
      <w:r>
        <w:rPr>
          <w:rFonts w:ascii="Poppins" w:hAnsi="Poppins" w:cs="Poppins"/>
          <w:sz w:val="17"/>
          <w:szCs w:val="17"/>
        </w:rPr>
        <w:t xml:space="preserve">[15] LinkedIn. (s. f.). </w:t>
      </w:r>
      <w:r>
        <w:rPr>
          <w:rFonts w:ascii="Poppins" w:hAnsi="Poppins" w:cs="Poppins"/>
          <w:i/>
          <w:iCs/>
          <w:sz w:val="17"/>
          <w:szCs w:val="17"/>
        </w:rPr>
        <w:t xml:space="preserve">LinkedIn Jobs.</w:t>
      </w:r>
      <w:r>
        <w:rPr>
          <w:rFonts w:ascii="Poppins" w:hAnsi="Poppins" w:cs="Poppins"/>
          <w:sz w:val="17"/>
          <w:szCs w:val="17"/>
        </w:rPr>
        <w:t xml:space="preserve"> https://www.linkedin.com/jobs</w:t>
      </w:r>
    </w:p>
    <w:p>
      <w:pPr>
        <w:spacing w:before="70" w:after="0"/>
        <w:ind w:left="567" w:hanging="567"/>
        <w:jc w:val="left"/>
      </w:pPr>
      <w:r>
        <w:rPr>
          <w:rFonts w:ascii="Poppins" w:hAnsi="Poppins" w:cs="Poppins"/>
          <w:sz w:val="17"/>
          <w:szCs w:val="17"/>
        </w:rPr>
        <w:t xml:space="preserve">[16] Microsoft. (s. f.). </w:t>
      </w:r>
      <w:r>
        <w:rPr>
          <w:rFonts w:ascii="Poppins" w:hAnsi="Poppins" w:cs="Poppins"/>
          <w:i/>
          <w:iCs/>
          <w:sz w:val="17"/>
          <w:szCs w:val="17"/>
        </w:rPr>
        <w:t xml:space="preserve">Office Home 2024</w:t>
      </w:r>
      <w:r>
        <w:rPr>
          <w:rFonts w:ascii="Poppins" w:hAnsi="Poppins" w:cs="Poppins"/>
          <w:sz w:val="17"/>
          <w:szCs w:val="17"/>
        </w:rPr>
        <w:t xml:space="preserve"> [Precio de lista, tienda oficial]. https://www.microsoft.com</w:t>
      </w:r>
    </w:p>
    <w:p>
      <w:pPr>
        <w:spacing w:before="70" w:after="0"/>
        <w:ind w:left="567" w:hanging="567"/>
        <w:jc w:val="left"/>
      </w:pPr>
      <w:r>
        <w:rPr>
          <w:rFonts w:ascii="Poppins" w:hAnsi="Poppins" w:cs="Poppins"/>
          <w:sz w:val="17"/>
          <w:szCs w:val="17"/>
        </w:rPr>
        <w:t xml:space="preserve">[17] Zumba Gamboa, J. P. y León Arreaga, C. A. (2018). Evolución de las metodologías y modelos utilizados en el desarrollo de software. </w:t>
      </w:r>
      <w:r>
        <w:rPr>
          <w:rFonts w:ascii="Poppins" w:hAnsi="Poppins" w:cs="Poppins"/>
          <w:i/>
          <w:iCs/>
          <w:sz w:val="17"/>
          <w:szCs w:val="17"/>
        </w:rPr>
        <w:t xml:space="preserve">INNOVA Research Journal, 3</w:t>
      </w:r>
      <w:r>
        <w:rPr>
          <w:rFonts w:ascii="Poppins" w:hAnsi="Poppins" w:cs="Poppins"/>
          <w:sz w:val="17"/>
          <w:szCs w:val="17"/>
        </w:rPr>
        <w:t xml:space="preserve">(10), 20–33.</w:t>
      </w:r>
    </w:p>
    <w:p>
      <w:pPr>
        <w:spacing w:before="70" w:after="0"/>
        <w:ind w:left="567" w:hanging="567"/>
        <w:jc w:val="left"/>
      </w:pPr>
      <w:r>
        <w:rPr>
          <w:rFonts w:ascii="Poppins" w:hAnsi="Poppins" w:cs="Poppins"/>
          <w:sz w:val="17"/>
          <w:szCs w:val="17"/>
        </w:rPr>
        <w:t xml:space="preserve">[18] Cardoso, L. (s. f.). </w:t>
      </w:r>
      <w:r>
        <w:rPr>
          <w:rFonts w:ascii="Poppins" w:hAnsi="Poppins" w:cs="Poppins"/>
          <w:i/>
          <w:iCs/>
          <w:sz w:val="17"/>
          <w:szCs w:val="17"/>
        </w:rPr>
        <w:t xml:space="preserve">Resumen PDS y ciclo de vida del desarrollo de software</w:t>
      </w:r>
      <w:r>
        <w:rPr>
          <w:rFonts w:ascii="Poppins" w:hAnsi="Poppins" w:cs="Poppins"/>
          <w:sz w:val="17"/>
          <w:szCs w:val="17"/>
        </w:rPr>
        <w:t xml:space="preserve"> [Notas de clase]. Universidad Católica Andrés Bello.</w:t>
      </w:r>
    </w:p>
    <w:p>
      <w:pPr>
        <w:keepNext/>
        <w:pageBreakBefore/>
        <w:spacing w:before="0" w:after="60"/>
        <w:jc w:val="center"/>
      </w:pPr>
      <w:r>
        <w:rPr>
          <w:rFonts w:ascii="Libre Baskerville" w:hAnsi="Libre Baskerville" w:cs="Poppins"/>
          <w:b/>
          <w:bCs/>
          <w:sz w:val="26"/>
          <w:szCs w:val="26"/>
        </w:rPr>
        <w:t xml:space="preserve">APÉNDICE A</w:t>
      </w:r>
    </w:p>
    <w:p>
      <w:pPr>
        <w:keepNext/>
        <w:spacing w:before="0" w:after="80"/>
        <w:jc w:val="center"/>
      </w:pPr>
      <w:r>
        <w:rPr>
          <w:rFonts w:ascii="Poppins" w:hAnsi="Poppins" w:cs="Poppins"/>
          <w:color w:val="777777"/>
          <w:sz w:val="18"/>
          <w:szCs w:val="18"/>
        </w:rPr>
        <w:t xml:space="preserve">PLANIFICACIÓN GENERAL DEL PROYECTO</w:t>
      </w:r>
    </w:p>
    <w:p>
      <w:pPr>
        <w:spacing w:before="110" w:after="0"/>
        <w:jc w:val="both"/>
      </w:pPr>
      <w:r>
        <w:rPr>
          <w:rFonts w:ascii="Poppins" w:hAnsi="Poppins" w:cs="Poppins"/>
          <w:sz w:val="19"/>
          <w:szCs w:val="19"/>
        </w:rPr>
        <w:t xml:space="preserve">Proyecto de 8 meses con inicio el 05/10/2026 (enunciado). Se asume una pausa entre el 18/12/2026 y el 10/01/2027 por receso académico. Roles: A = Analista (Bruno Yauripoma), B = Arquitecto de Software (Germán Moreno), C = Desarrollador (Fabián Silva).</w:t>
      </w:r>
    </w:p>
    <w:p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6646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gener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646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8504" w:type="dxa"/>
        <w:jc w:val="center"/>
        <w:tblLayout w:type="fixed"/>
      </w:tblPr>
      <w:tblGrid>
        <w:gridCol w:w="2700"/>
        <w:gridCol w:w="1100"/>
        <w:gridCol w:w="1250"/>
        <w:gridCol w:w="1250"/>
        <w:gridCol w:w="1450"/>
        <w:gridCol w:w="754"/>
      </w:tblGrid>
      <w:tr>
        <w:trPr>
          <w:cantSplit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Iteración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Inicio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Fin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Horas A / B / C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Inicio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—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05/10/2026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29/10/2026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36 / 36 / 28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100 h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Análisis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—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30/10/2026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26/11/2026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48 / 40 / 32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120 h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Diseño Global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—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27/11/2026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17/12/2026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32 / 40 / 40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112 h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Subproyecto 1 · Spellbook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Iteración 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11/01/2027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26/02/2027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35 / 10 / 45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90 h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Subproyecto 1 · Spellbook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Iteración 2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01/03/2027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09/04/2027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28 / 10 / 32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70 h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Subproyecto 2 · LinkedIn Jobs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Iteración 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11/01/2027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26/02/2027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5 / 20 / 25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50 h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Subproyecto 2 · LinkedIn Jobs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Iteración 2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01/03/2027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09/04/2027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5 / 15 / 20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40 h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Integración del flujo de valor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—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12/04/2027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07/05/2027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18 / 26 / 12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56 h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Transición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—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10/05/2027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04/06/2027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24 / 24 / 32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80 h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231 / 221 / 266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718 h</w:t>
            </w:r>
          </w:p>
        </w:tc>
      </w:tr>
    </w:tbl>
    <w:p>
      <w:pPr>
        <w:spacing w:before="0" w:after="0" w:line="120" w:lineRule="exact"/>
      </w:pPr>
    </w:p>
    <w:p>
      <w:pPr>
        <w:keepNext/>
        <w:spacing w:before="300" w:after="60"/>
        <w:jc w:val="center"/>
      </w:pPr>
      <w:r>
        <w:rPr>
          <w:rFonts w:ascii="Libre Baskerville" w:hAnsi="Libre Baskerville" w:cs="Poppins"/>
          <w:b/>
          <w:bCs/>
          <w:sz w:val="26"/>
          <w:szCs w:val="26"/>
        </w:rPr>
        <w:t xml:space="preserve">APÉNDICE B</w:t>
      </w:r>
    </w:p>
    <w:p>
      <w:pPr>
        <w:keepNext/>
        <w:spacing w:before="0" w:after="80"/>
        <w:jc w:val="center"/>
      </w:pPr>
      <w:r>
        <w:rPr>
          <w:rFonts w:ascii="Poppins" w:hAnsi="Poppins" w:cs="Poppins"/>
          <w:color w:val="777777"/>
          <w:sz w:val="18"/>
          <w:szCs w:val="18"/>
        </w:rPr>
        <w:t xml:space="preserve">PLANIFICACIÓN DETALLADA DE LA ETAPA DE INICIO</w:t>
      </w:r>
    </w:p>
    <w:p>
      <w:pPr>
        <w:spacing w:before="110" w:after="0"/>
        <w:jc w:val="both"/>
      </w:pPr>
      <w:r>
        <w:rPr>
          <w:rFonts w:ascii="Poppins" w:hAnsi="Poppins" w:cs="Poppins"/>
          <w:sz w:val="19"/>
          <w:szCs w:val="19"/>
        </w:rPr>
        <w:t xml:space="preserve">Actividades y fechas de la Etapa de Inicio, con las horas por rol. El entregable de la etapa es el Documento de Visión en PDF, enviado por correo a la profesora antes de las 10:00 a. m. del 29/10/2026.</w:t>
      </w:r>
    </w:p>
    <w:p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1845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inici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184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8504" w:type="dxa"/>
        <w:jc w:val="center"/>
        <w:tblLayout w:type="fixed"/>
      </w:tblPr>
      <w:tblGrid>
        <w:gridCol w:w="3900"/>
        <w:gridCol w:w="1100"/>
        <w:gridCol w:w="1100"/>
        <w:gridCol w:w="1500"/>
        <w:gridCol w:w="904"/>
      </w:tblGrid>
      <w:tr>
        <w:trPr>
          <w:cantSplit/>
          <w:tblHeader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Actividad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Inicio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Fin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Horas A / B / C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Definir el mercado (asignado) y revisar el enunciado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05/10/2026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09/10/2026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5 / 5 / 3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13 h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Formular hipótesis de actividades y problemas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10/10/2026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14/10/2026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5 / 5 / 4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14 h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Consulta con la profesora y aclaraciones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15/10/2026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15/10/2026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2 / 2 / 2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6 h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Entrevista a estudiantes de último año (validación)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16/10/2026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16/10/2026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3 / 3 / 3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9 h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Declaración de oportunidad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17/10/2026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20/10/2026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6 / 5 / 3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14 h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Selección y reserva de apps (consulta del jueves)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19/10/2026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22/10/2026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3 / 6 / 3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12 h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Solución propuesta, objetivos, alcance y limitaciones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21/10/2026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24/10/2026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5 / 4 / 4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13 h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Factibilidad, marco metodológico y planificación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24/10/2026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27/10/2026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4 / 4 / 5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13 h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Revisión cruzada y entrega del Documento de Visión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27/10/2026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29/10/2026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3 / 2 / 1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6 h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36 / 36 / 28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100 h</w:t>
            </w:r>
          </w:p>
        </w:tc>
      </w:tr>
    </w:tbl>
    <w:p>
      <w:pPr>
        <w:spacing w:before="0" w:after="0" w:line="120" w:lineRule="exact"/>
      </w:pPr>
    </w:p>
    <w:p>
      <w:pPr>
        <w:keepNext/>
        <w:pageBreakBefore/>
        <w:spacing w:before="0" w:after="60"/>
        <w:jc w:val="center"/>
      </w:pPr>
      <w:r>
        <w:rPr>
          <w:rFonts w:ascii="Libre Baskerville" w:hAnsi="Libre Baskerville" w:cs="Poppins"/>
          <w:b/>
          <w:bCs/>
          <w:sz w:val="26"/>
          <w:szCs w:val="26"/>
        </w:rPr>
        <w:t xml:space="preserve">APÉNDICE C</w:t>
      </w:r>
    </w:p>
    <w:p>
      <w:pPr>
        <w:keepNext/>
        <w:spacing w:before="0" w:after="80"/>
        <w:jc w:val="center"/>
      </w:pPr>
      <w:r>
        <w:rPr>
          <w:rFonts w:ascii="Poppins" w:hAnsi="Poppins" w:cs="Poppins"/>
          <w:color w:val="777777"/>
          <w:sz w:val="18"/>
          <w:szCs w:val="18"/>
        </w:rPr>
        <w:t xml:space="preserve">ESTRUCTURA DE COSTOS</w:t>
      </w:r>
    </w:p>
    <w:p>
      <w:pPr>
        <w:spacing w:before="110" w:after="0"/>
        <w:jc w:val="both"/>
      </w:pPr>
      <w:r>
        <w:rPr>
          <w:rFonts w:ascii="Poppins" w:hAnsi="Poppins" w:cs="Poppins"/>
          <w:sz w:val="19"/>
          <w:szCs w:val="19"/>
        </w:rPr>
        <w:t xml:space="preserve">Tarifa por hora: el tabulador del Colegio de Ingenieros de Venezuela (CIV) fija para un ingeniero recién egresado un monto neto mensual de aproximadamente $949 [13]; al dividirlo entre 160 horas resulta </w:t>
      </w:r>
      <w:r>
        <w:rPr>
          <w:rFonts w:ascii="Poppins" w:hAnsi="Poppins" w:cs="Poppins"/>
          <w:b/>
          <w:bCs/>
          <w:sz w:val="19"/>
          <w:szCs w:val="19"/>
        </w:rPr>
        <w:t xml:space="preserve">$5,93 por hora</w:t>
      </w:r>
      <w:r>
        <w:rPr>
          <w:rFonts w:ascii="Poppins" w:hAnsi="Poppins" w:cs="Poppins"/>
          <w:sz w:val="19"/>
          <w:szCs w:val="19"/>
        </w:rPr>
        <w:t xml:space="preserve">, que se aplica a los tres roles. Spellbook: se estima $79,00 al mes, valor dentro del rango de $20 a $99 reportado [12]; el proveedor cotiza a pedido [14]. Word: $179,99 de pago único [16]. LinkedIn Jobs: gratuito [15].</w:t>
      </w:r>
    </w:p>
    <w:p>
      <w:pPr>
        <w:keepNext/>
        <w:spacing w:before="160" w:after="40"/>
        <w:jc w:val="left"/>
      </w:pPr>
      <w:r>
        <w:rPr>
          <w:rFonts w:ascii="Libre Baskerville" w:hAnsi="Libre Baskerville" w:cs="Poppins"/>
          <w:b/>
          <w:bCs/>
          <w:color w:val="9900FF"/>
          <w:sz w:val="22"/>
          <w:szCs w:val="22"/>
        </w:rPr>
        <w:t xml:space="preserve">C.1 Costo total de desarrollo (8 meses)</w:t>
      </w:r>
    </w:p>
    <w:tbl>
      <w:tblPr>
        <w:tblW w:w="8504" w:type="dxa"/>
        <w:jc w:val="center"/>
        <w:tblLayout w:type="fixed"/>
      </w:tblPr>
      <w:tblGrid>
        <w:gridCol w:w="4300"/>
        <w:gridCol w:w="1300"/>
        <w:gridCol w:w="1400"/>
        <w:gridCol w:w="1504"/>
      </w:tblGrid>
      <w:tr>
        <w:trPr>
          <w:cantSplit/>
          <w:tblHeader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Horas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Costo por hora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Costo (USD)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Analista (Bruno Yauripoma)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231 h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$5,93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$1.369,83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Arquitecto de Software (Germán Moreno)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221 h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$5,93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$1.310,53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Desarrollador (Fabián Silva)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266 h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$5,93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$1.577,38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Subtotal horas-hombre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718 h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$4.257,74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LinkedIn Jobs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$0,00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Spellbook (3 meses × $79,00)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$237,00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Microsoft Office Home 2024 (pago único)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$179,99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TOTAL DE DESARROLLO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$4.674,73</w:t>
            </w:r>
          </w:p>
        </w:tc>
      </w:tr>
    </w:tbl>
    <w:p>
      <w:pPr>
        <w:spacing w:before="0" w:after="0" w:line="120" w:lineRule="exact"/>
      </w:pPr>
    </w:p>
    <w:p>
      <w:pPr>
        <w:keepNext/>
        <w:spacing w:before="160" w:after="40"/>
        <w:jc w:val="left"/>
      </w:pPr>
      <w:r>
        <w:rPr>
          <w:rFonts w:ascii="Libre Baskerville" w:hAnsi="Libre Baskerville" w:cs="Poppins"/>
          <w:b/>
          <w:bCs/>
          <w:color w:val="9900FF"/>
          <w:sz w:val="22"/>
          <w:szCs w:val="22"/>
        </w:rPr>
        <w:t xml:space="preserve">C.2 Costo de mantenimiento (por estudiante, en un trimestre)</w:t>
      </w:r>
    </w:p>
    <w:tbl>
      <w:tblPr>
        <w:tblW w:w="8504" w:type="dxa"/>
        <w:jc w:val="center"/>
        <w:tblLayout w:type="fixed"/>
      </w:tblPr>
      <w:tblGrid>
        <w:gridCol w:w="6500"/>
        <w:gridCol w:w="2004"/>
      </w:tblGrid>
      <w:tr>
        <w:trPr>
          <w:cantSplit/>
          <w:tblHeader/>
        </w:trPr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Costo (USD)</w:t>
            </w:r>
          </w:p>
        </w:tc>
      </w:tr>
      <w:tr>
        <w:trPr>
          <w:cantSplit/>
        </w:trPr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LinkedIn Jobs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$0,00</w:t>
            </w:r>
          </w:p>
        </w:tc>
      </w:tr>
      <w:tr>
        <w:trPr>
          <w:cantSplit/>
        </w:trPr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Spellbook (3 meses × $79,00)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$237,00</w:t>
            </w:r>
          </w:p>
        </w:tc>
      </w:tr>
      <w:tr>
        <w:trPr>
          <w:cantSplit/>
        </w:trPr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Mantenimiento: 6 h (2 h al mes) × $5,93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$35,58</w:t>
            </w:r>
          </w:p>
        </w:tc>
      </w:tr>
      <w:tr>
        <w:trPr>
          <w:cantSplit/>
        </w:trPr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TOTAL DE MANTENIMIENTO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$272,58</w:t>
            </w:r>
          </w:p>
        </w:tc>
      </w:tr>
    </w:tbl>
    <w:p>
      <w:pPr>
        <w:spacing w:before="0" w:after="0" w:line="120" w:lineRule="exact"/>
      </w:pPr>
    </w:p>
    <w:p>
      <w:pPr>
        <w:keepNext/>
        <w:spacing w:before="160" w:after="40"/>
        <w:jc w:val="left"/>
      </w:pPr>
      <w:r>
        <w:rPr>
          <w:rFonts w:ascii="Libre Baskerville" w:hAnsi="Libre Baskerville" w:cs="Poppins"/>
          <w:b/>
          <w:bCs/>
          <w:color w:val="9900FF"/>
          <w:sz w:val="22"/>
          <w:szCs w:val="22"/>
        </w:rPr>
        <w:t xml:space="preserve">C.3 Escala de calificación económica (criterio del equipo)</w:t>
      </w:r>
    </w:p>
    <w:p>
      <w:pPr>
        <w:keepNext/>
        <w:spacing w:before="110" w:after="0"/>
        <w:jc w:val="both"/>
      </w:pPr>
      <w:r>
        <w:rPr>
          <w:rFonts w:ascii="Poppins" w:hAnsi="Poppins" w:cs="Poppins"/>
          <w:sz w:val="19"/>
          <w:szCs w:val="19"/>
        </w:rPr>
        <w:t xml:space="preserve">No hay un presupuesto fijado en el enunciado; el equipo adopta como referencia $5.000,00 para el desarrollo y $300,00 por usuario y trimestre para el mantenimiento. La calificación depende de qué porcentaje de esa referencia consume el costo estimado.</w:t>
      </w:r>
    </w:p>
    <w:tbl>
      <w:tblPr>
        <w:tblW w:w="8504" w:type="dxa"/>
        <w:jc w:val="center"/>
        <w:tblLayout w:type="fixed"/>
      </w:tblPr>
      <w:tblGrid>
        <w:gridCol w:w="1500"/>
        <w:gridCol w:w="3600"/>
        <w:gridCol w:w="1700"/>
        <w:gridCol w:w="1704"/>
      </w:tblGrid>
      <w:tr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Calificación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Costo respecto a la referencia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Desarrollo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Mantenimiento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Hasta 60 %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hasta $3.000,00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hasta $180,00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Más de 60 % y hasta 100 %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hasta $5.000,00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hasta $300,00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Más de 100 % y hasta 120 %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hasta $6.000,00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hasta $360,00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Más de 120 % y hasta 150 %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hasta $7.500,00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hasta $450,00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Más de 150 %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más de $7.500,00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sz w:val="16"/>
                <w:szCs w:val="16"/>
              </w:rPr>
              <w:t xml:space="preserve">más de $450,00</w:t>
            </w:r>
          </w:p>
        </w:tc>
      </w:tr>
    </w:tbl>
    <w:p>
      <w:pPr>
        <w:spacing w:before="0" w:after="0" w:line="120" w:lineRule="exact"/>
      </w:pPr>
    </w:p>
    <w:p>
      <w:pPr>
        <w:spacing w:before="40" w:after="0"/>
        <w:jc w:val="left"/>
      </w:pPr>
      <w:r>
        <w:rPr>
          <w:rFonts w:ascii="Poppins" w:hAnsi="Poppins" w:cs="Poppins"/>
          <w:sz w:val="19"/>
          <w:szCs w:val="19"/>
        </w:rPr>
        <w:t xml:space="preserve">Resultado: desarrollo $4.674,73 (calificación 4) y mantenimiento $272,58 (calificación 4).</w:t>
      </w:r>
    </w:p>
    <w:p>
      <w:pPr>
        <w:keepNext/>
        <w:pageBreakBefore/>
        <w:spacing w:before="0" w:after="60"/>
        <w:jc w:val="center"/>
      </w:pPr>
      <w:r>
        <w:rPr>
          <w:rFonts w:ascii="Libre Baskerville" w:hAnsi="Libre Baskerville" w:cs="Poppins"/>
          <w:b/>
          <w:bCs/>
          <w:sz w:val="26"/>
          <w:szCs w:val="26"/>
        </w:rPr>
        <w:t xml:space="preserve">APÉNDICE D</w:t>
      </w:r>
    </w:p>
    <w:p>
      <w:pPr>
        <w:keepNext/>
        <w:spacing w:before="0" w:after="80"/>
        <w:jc w:val="center"/>
      </w:pPr>
      <w:r>
        <w:rPr>
          <w:rFonts w:ascii="Poppins" w:hAnsi="Poppins" w:cs="Poppins"/>
          <w:color w:val="777777"/>
          <w:sz w:val="18"/>
          <w:szCs w:val="18"/>
        </w:rPr>
        <w:t xml:space="preserve">DOCUMENTACIÓN DE LOS PROCESOS DE NEGOCIO A APOYAR</w:t>
      </w:r>
    </w:p>
    <w:p>
      <w:pPr>
        <w:spacing w:before="110" w:after="0"/>
        <w:jc w:val="both"/>
      </w:pPr>
      <w:r>
        <w:rPr>
          <w:rFonts w:ascii="Poppins" w:hAnsi="Poppins" w:cs="Poppins"/>
          <w:sz w:val="19"/>
          <w:szCs w:val="19"/>
        </w:rPr>
        <w:t xml:space="preserve">Procesos actuales del estudiante de último año de Derecho, descritos a partir de la entrevista del 16/10/2026 [2]. Son los procesos como se realizan hoy, sin las aplicaciones propuestas.</w:t>
      </w:r>
    </w:p>
    <w:p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5943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594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8504" w:type="dxa"/>
        <w:jc w:val="center"/>
        <w:tblLayout w:type="fixed"/>
      </w:tblPr>
      <w:tblGrid>
        <w:gridCol w:w="1900"/>
        <w:gridCol w:w="6604"/>
      </w:tblGrid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Tipo de proceso</w:t>
            </w:r>
          </w:p>
        </w:tc>
        <w:tc>
          <w:tcPr>
            <w:tcW w:w="6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De apoyo (administrativo) para el estudiante.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Actores</w:t>
            </w:r>
          </w:p>
        </w:tc>
        <w:tc>
          <w:tcPr>
            <w:tcW w:w="6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Estudiante, firma u organización empleadora, Parque Social (Clínica Jurídica) y la universidad.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Entradas</w:t>
            </w:r>
          </w:p>
        </w:tc>
        <w:tc>
          <w:tcPr>
            <w:tcW w:w="6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Horario académico [8], ofertas de pasantía (redes personales, LinkedIn y grupos estudiantiles) y requisitos de egreso [5].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Salidas</w:t>
            </w:r>
          </w:p>
        </w:tc>
        <w:tc>
          <w:tcPr>
            <w:tcW w:w="6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Pasantía compatible con las clases, agenda coordinada y horas cumplidas registradas.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Recursos de TI actuales</w:t>
            </w:r>
          </w:p>
        </w:tc>
        <w:tc>
          <w:tcPr>
            <w:tcW w:w="6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LinkedIn y mensajería de grupos estudiantiles [2].</w:t>
            </w:r>
          </w:p>
        </w:tc>
      </w:tr>
    </w:tbl>
    <w:p>
      <w:pPr>
        <w:spacing w:before="0" w:after="0" w:line="120" w:lineRule="exact"/>
      </w:pPr>
    </w:p>
    <w:p>
      <w:r>
        <w:br w:type="page"/>
      </w:r>
    </w:p>
    <w:p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5943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594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8504" w:type="dxa"/>
        <w:jc w:val="center"/>
        <w:tblLayout w:type="fixed"/>
      </w:tblPr>
      <w:tblGrid>
        <w:gridCol w:w="1900"/>
        <w:gridCol w:w="6604"/>
      </w:tblGrid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Tipo de proceso</w:t>
            </w:r>
          </w:p>
        </w:tc>
        <w:tc>
          <w:tcPr>
            <w:tcW w:w="6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Primario: es la labor jurídica central del pasante de oficina.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Actores</w:t>
            </w:r>
          </w:p>
        </w:tc>
        <w:tc>
          <w:tcPr>
            <w:tcW w:w="6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Pasante, abogado supervisor y cliente de la firma.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Entradas</w:t>
            </w:r>
          </w:p>
        </w:tc>
        <w:tc>
          <w:tcPr>
            <w:tcW w:w="6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Instrucción del supervisor, hechos del caso, modelos y contratos previos.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Salidas</w:t>
            </w:r>
          </w:p>
        </w:tc>
        <w:tc>
          <w:tcPr>
            <w:tcW w:w="6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Contrato revisado, firmado y archivado.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Recursos de TI actuales</w:t>
            </w:r>
          </w:p>
        </w:tc>
        <w:tc>
          <w:tcPr>
            <w:tcW w:w="6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keepNext/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Microjuris (consulta de leyes y jurisprudencia), Adobe Sign (firma) y SAP Ariba (gestión de contratos en entornos corporativos) [2].</w:t>
            </w:r>
          </w:p>
        </w:tc>
      </w:tr>
    </w:tbl>
    <w:p>
      <w:pPr>
        <w:spacing w:before="0" w:after="0" w:line="120" w:lineRule="exact"/>
      </w:pPr>
    </w:p>
    <w:p>
      <w:pPr>
        <w:keepNext/>
        <w:spacing w:before="300" w:after="60"/>
        <w:jc w:val="center"/>
      </w:pPr>
      <w:r>
        <w:rPr>
          <w:rFonts w:ascii="Libre Baskerville" w:hAnsi="Libre Baskerville" w:cs="Poppins"/>
          <w:b/>
          <w:bCs/>
          <w:sz w:val="26"/>
          <w:szCs w:val="26"/>
        </w:rPr>
        <w:t xml:space="preserve">APÉNDICE E</w:t>
      </w:r>
    </w:p>
    <w:p>
      <w:pPr>
        <w:keepNext/>
        <w:spacing w:before="0" w:after="80"/>
        <w:jc w:val="center"/>
      </w:pPr>
      <w:r>
        <w:rPr>
          <w:rFonts w:ascii="Poppins" w:hAnsi="Poppins" w:cs="Poppins"/>
          <w:color w:val="777777"/>
          <w:sz w:val="18"/>
          <w:szCs w:val="18"/>
        </w:rPr>
        <w:t xml:space="preserve">USUARIOS POTENCIALES Y CONTACTOS</w:t>
      </w:r>
    </w:p>
    <w:p>
      <w:pPr>
        <w:spacing w:before="110" w:after="0"/>
        <w:jc w:val="both"/>
      </w:pPr>
      <w:r>
        <w:rPr>
          <w:rFonts w:ascii="Poppins" w:hAnsi="Poppins" w:cs="Poppins"/>
          <w:sz w:val="19"/>
          <w:szCs w:val="19"/>
        </w:rPr>
        <w:t xml:space="preserve">Personas reales que participaron en la validación de la oportunidad y que integrarán el grupo piloto de usuarios.</w:t>
      </w:r>
    </w:p>
    <w:tbl>
      <w:tblPr>
        <w:tblW w:w="8504" w:type="dxa"/>
        <w:jc w:val="center"/>
        <w:tblLayout w:type="fixed"/>
      </w:tblPr>
      <w:tblGrid>
        <w:gridCol w:w="1750"/>
        <w:gridCol w:w="2150"/>
        <w:gridCol w:w="2250"/>
        <w:gridCol w:w="1250"/>
        <w:gridCol w:w="1104"/>
      </w:tblGrid>
      <w:tr>
        <w:trPr>
          <w:cantSplit/>
          <w:tblHeader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Rol y organización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Perfil y aporte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Contacto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Participación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Santiago Ángel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Estudiante de último año de Derecho, UCAB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Entrevistado el 16/10/2026 [2]; conoce la búsqueda de pasantías y el trabajo de calle.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[correo o teléfono]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[confirmar]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David Palacios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Estudiante de último año de Derecho, UCAB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Entrevistado el 16/10/2026 [2]; experiencia en pasantías y redacción de contratos.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[correo o teléfono]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[confirmar]</w:t>
            </w:r>
          </w:p>
        </w:tc>
      </w:tr>
      <w:tr>
        <w:trPr>
          <w:cantSplit/>
        </w:trPr>
        <w:tc>
          <w:tcPr>
            <w:tcW w:w="850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[Agregar usuarios adicionales: estudiante en firma, en Clínica Jurídica o in-house]</w:t>
            </w:r>
          </w:p>
        </w:tc>
      </w:tr>
    </w:tbl>
    <w:p>
      <w:pPr>
        <w:spacing w:before="0" w:after="0" w:line="120" w:lineRule="exact"/>
      </w:pPr>
    </w:p>
    <w:p>
      <w:pPr>
        <w:keepNext/>
        <w:pageBreakBefore/>
        <w:spacing w:before="0" w:after="60"/>
        <w:jc w:val="center"/>
      </w:pPr>
      <w:r>
        <w:rPr>
          <w:rFonts w:ascii="Libre Baskerville" w:hAnsi="Libre Baskerville" w:cs="Poppins"/>
          <w:b/>
          <w:bCs/>
          <w:sz w:val="26"/>
          <w:szCs w:val="26"/>
        </w:rPr>
        <w:t xml:space="preserve">ANEXO 1</w:t>
      </w:r>
    </w:p>
    <w:p>
      <w:pPr>
        <w:keepNext/>
        <w:spacing w:before="0" w:after="80"/>
        <w:jc w:val="center"/>
      </w:pPr>
      <w:r>
        <w:rPr>
          <w:rFonts w:ascii="Poppins" w:hAnsi="Poppins" w:cs="Poppins"/>
          <w:color w:val="777777"/>
          <w:sz w:val="18"/>
          <w:szCs w:val="18"/>
        </w:rPr>
        <w:t xml:space="preserve">COMPARACIÓN DE APLICACIONES GENERALISTAS (BÚSQUEDA DE PASANTÍAS)</w:t>
      </w:r>
    </w:p>
    <w:tbl>
      <w:tblPr>
        <w:tblW w:w="8504" w:type="dxa"/>
        <w:jc w:val="center"/>
        <w:tblLayout w:type="fixed"/>
      </w:tblPr>
      <w:tblGrid>
        <w:gridCol w:w="1350"/>
        <w:gridCol w:w="1450"/>
        <w:gridCol w:w="2000"/>
        <w:gridCol w:w="1500"/>
        <w:gridCol w:w="2204"/>
      </w:tblGrid>
      <w:tr>
        <w:trPr>
          <w:cantSplit/>
          <w:tblHeader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Aplicación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Tipo de software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Principal ventaja para el estudiante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Disponibilidad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Decisión</w:t>
            </w:r>
          </w:p>
        </w:tc>
      </w:tr>
      <w:tr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LinkedIn Jobs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Red profesional y motor de empleos (B2C/B2B)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Red de contactos activa y filtros de disponibilidad horaria y pasantías.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Muy alta (estándar global)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Seleccionada:</w:t>
            </w:r>
            <w:r>
              <w:rPr>
                <w:rFonts w:ascii="Poppins" w:hAnsi="Poppins" w:cs="Poppins"/>
                <w:sz w:val="16"/>
                <w:szCs w:val="16"/>
              </w:rPr>
              <w:t xml:space="preserve"> mayor ajuste a los problemas 1 y 2 y a la búsqueda en firmas.</w:t>
            </w:r>
          </w:p>
        </w:tc>
      </w:tr>
      <w:tr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Indeed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Buscador masivo de empleo (B2C)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Gran volumen de ofertas locales y filtros por tipo de jornada.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Alta (gratuito / comercial)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Descartada: no ofrece la red de reclutadores de firmas de LinkedIn.</w:t>
            </w:r>
          </w:p>
        </w:tc>
      </w:tr>
      <w:tr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Glassdoor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Portal de empleos y evaluaciones de empresas (B2C)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Permite ver salarios y opiniones de otros pasantes.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Alta (global)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Descartada: orienta la reputación de la empresa, no la postulación.</w:t>
            </w:r>
          </w:p>
        </w:tc>
      </w:tr>
      <w:tr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FirstJob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Portal de empleo para estudiantes y recién graduados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Diseñado para primeras prácticas.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Media (Latinoamérica)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Descartada: menor disponibilidad comercial en Venezuela.</w:t>
            </w:r>
          </w:p>
        </w:tc>
      </w:tr>
      <w:tr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Job Today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App móvil de reclutamiento rápido (B2C)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Chat directo con empleadores para horarios flexibles.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Media (Europa y EE. UU.)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Descartada: enfocada en otros mercados.</w:t>
            </w:r>
          </w:p>
        </w:tc>
      </w:tr>
      <w:tr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Workable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Sistema de reclutamiento y selección / ATS (B2B)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Gestión de candidatos por fases para la empresa.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Alta (licencia empresarial)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Descartada: es para la empresa, no para el estudiante.</w:t>
            </w:r>
          </w:p>
        </w:tc>
      </w:tr>
    </w:tbl>
    <w:p>
      <w:pPr>
        <w:spacing w:before="0" w:after="0" w:line="120" w:lineRule="exact"/>
      </w:pPr>
    </w:p>
    <w:p>
      <w:pPr>
        <w:keepNext/>
        <w:spacing w:before="300" w:after="60"/>
        <w:jc w:val="center"/>
      </w:pPr>
      <w:r>
        <w:rPr>
          <w:rFonts w:ascii="Libre Baskerville" w:hAnsi="Libre Baskerville" w:cs="Poppins"/>
          <w:b/>
          <w:bCs/>
          <w:sz w:val="26"/>
          <w:szCs w:val="26"/>
        </w:rPr>
        <w:t xml:space="preserve">ANEXO 2</w:t>
      </w:r>
    </w:p>
    <w:p>
      <w:pPr>
        <w:keepNext/>
        <w:spacing w:before="0" w:after="80"/>
        <w:jc w:val="center"/>
      </w:pPr>
      <w:r>
        <w:rPr>
          <w:rFonts w:ascii="Poppins" w:hAnsi="Poppins" w:cs="Poppins"/>
          <w:color w:val="777777"/>
          <w:sz w:val="18"/>
          <w:szCs w:val="18"/>
        </w:rPr>
        <w:t xml:space="preserve">COMPARACIÓN DE APLICACIONES ESPECIALIZADAS CON IA JURÍDICA</w:t>
      </w:r>
    </w:p>
    <w:tbl>
      <w:tblPr>
        <w:tblW w:w="8504" w:type="dxa"/>
        <w:jc w:val="center"/>
        <w:tblLayout w:type="fixed"/>
      </w:tblPr>
      <w:tblGrid>
        <w:gridCol w:w="1350"/>
        <w:gridCol w:w="1450"/>
        <w:gridCol w:w="2000"/>
        <w:gridCol w:w="1500"/>
        <w:gridCol w:w="2204"/>
      </w:tblGrid>
      <w:tr>
        <w:trPr>
          <w:cantSplit/>
          <w:tblHeader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Aplicación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Tipo de software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Principal ventaja para el pasante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Disponibilidad / integración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 xml:space="preserve">Decisión</w:t>
            </w:r>
          </w:p>
        </w:tc>
      </w:tr>
      <w:tr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Spellbook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Asistente de IA para contratos basado en LLM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Sugiere cláusulas faltantes, detecta riesgos y redacta borradores en segundos.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Excelente: complemento (add-in) de Microsoft Word.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Seleccionada:</w:t>
            </w:r>
            <w:r>
              <w:rPr>
                <w:rFonts w:ascii="Poppins" w:hAnsi="Poppins" w:cs="Poppins"/>
                <w:sz w:val="16"/>
                <w:szCs w:val="16"/>
              </w:rPr>
              <w:t xml:space="preserve"> asiste directamente el armado de contratos y se integra a Word.</w:t>
            </w:r>
          </w:p>
        </w:tc>
      </w:tr>
      <w:tr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Contractbook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Gestión del ciclo de vida de contratos (CLM)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Crea, firma y administra contratos con cuestionarios y plantillas.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Buena: plataforma web en la nube.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Descartada: gestiona el ciclo del contrato, no asiste la redacción de cláusulas.</w:t>
            </w:r>
          </w:p>
        </w:tc>
      </w:tr>
      <w:tr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vLex (Vincent AI)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Investigación e IA jurídica global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Cruza borradores con leyes, gacetas y jurisprudencia.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Muy buena: bases de datos legales.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Descartada: orientada a investigación, no a armar contratos.</w:t>
            </w:r>
          </w:p>
        </w:tc>
      </w:tr>
      <w:tr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Luminance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Aprendizaje automático para análisis de documentos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Analiza grandes volúmenes de contratos para detectar anomalías.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Alta (firmas e instituciones).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Descartada: diseñada para auditorías (due diligence), sobredimensionada.</w:t>
            </w:r>
          </w:p>
        </w:tc>
      </w:tr>
      <w:tr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Kira Systems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Extracción de datos y revisión analítica con IA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Extrae más de 1.000 conceptos y cláusulas de contratos complejos.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Media: requiere configurar y entrenar plantillas.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Descartada: exige entrenamiento previo de plantillas.</w:t>
            </w:r>
          </w:p>
        </w:tc>
      </w:tr>
      <w:tr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LawVu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Gestión para departamentos legales corporativos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Centraliza contratos, tareas y colaboración.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Buena: espacio de trabajo para abogados in-house.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Poppins" w:hAnsi="Poppins" w:cs="Poppins"/>
                <w:sz w:val="16"/>
                <w:szCs w:val="16"/>
              </w:rPr>
              <w:t xml:space="preserve">Descartada: orientada a departamentos legales corporativos.</w:t>
            </w:r>
          </w:p>
        </w:tc>
      </w:tr>
    </w:tbl>
    <w:p>
      <w:pPr>
        <w:spacing w:before="0" w:after="0" w:line="120" w:lineRule="exact"/>
      </w:pPr>
    </w:p>
    <w:sectPr w:rsidR="00E50F4E" w:rsidRPr="00690AB3" w:rsidSect="00712517">
      <w:headerReference w:type="default" r:id="rId20"/>
      <w:pgSz w:w="11906" w:h="16838"/>
      <w:pgMar w:top="2948" w:right="1701" w:bottom="294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22EBD" w14:textId="77777777" w:rsidR="005E32FF" w:rsidRDefault="005E32FF" w:rsidP="00C60347">
      <w:pPr>
        <w:spacing w:after="0" w:line="240" w:lineRule="auto"/>
      </w:pPr>
      <w:r>
        <w:separator/>
      </w:r>
    </w:p>
  </w:endnote>
  <w:endnote w:type="continuationSeparator" w:id="0">
    <w:p w14:paraId="5C3385F0" w14:textId="77777777" w:rsidR="005E32FF" w:rsidRDefault="005E32FF" w:rsidP="00C60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Libre Baskerville">
    <w:panose1 w:val="02000000000000000000"/>
    <w:charset w:val="00"/>
    <w:family w:val="auto"/>
    <w:pitch w:val="variable"/>
    <w:sig w:usb0="A00000FF" w:usb1="5000005B" w:usb2="00000000" w:usb3="00000000" w:csb0="00000093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8A7D2" w14:textId="77777777" w:rsidR="005E32FF" w:rsidRDefault="005E32FF" w:rsidP="00C60347">
      <w:pPr>
        <w:spacing w:after="0" w:line="240" w:lineRule="auto"/>
      </w:pPr>
      <w:r>
        <w:separator/>
      </w:r>
    </w:p>
  </w:footnote>
  <w:footnote w:type="continuationSeparator" w:id="0">
    <w:p w14:paraId="1A0E9B05" w14:textId="77777777" w:rsidR="005E32FF" w:rsidRDefault="005E32FF" w:rsidP="00C603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A6FA2" w14:textId="77777777" w:rsidR="00C60347" w:rsidRDefault="00C60347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3B03CFF1" wp14:editId="1C4D27FF">
          <wp:simplePos x="0" y="0"/>
          <wp:positionH relativeFrom="page">
            <wp:posOffset>6667499</wp:posOffset>
          </wp:positionH>
          <wp:positionV relativeFrom="paragraph">
            <wp:posOffset>-449580</wp:posOffset>
          </wp:positionV>
          <wp:extent cx="894715" cy="89471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4715" cy="894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57041423" wp14:editId="52856CE3">
          <wp:simplePos x="0" y="0"/>
          <wp:positionH relativeFrom="page">
            <wp:align>left</wp:align>
          </wp:positionH>
          <wp:positionV relativeFrom="paragraph">
            <wp:posOffset>4827270</wp:posOffset>
          </wp:positionV>
          <wp:extent cx="5400040" cy="5400040"/>
          <wp:effectExtent l="0" t="0" r="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540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3AF2910" wp14:editId="51C73A88">
          <wp:simplePos x="0" y="0"/>
          <wp:positionH relativeFrom="page">
            <wp:align>right</wp:align>
          </wp:positionH>
          <wp:positionV relativeFrom="paragraph">
            <wp:posOffset>4827270</wp:posOffset>
          </wp:positionV>
          <wp:extent cx="5400040" cy="540004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540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631D4693" wp14:editId="75296711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5400040" cy="5400040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540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7C93"/>
    <w:multiLevelType w:val="hybridMultilevel"/>
    <w:tmpl w:val="DD4A09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7417F"/>
    <w:multiLevelType w:val="hybridMultilevel"/>
    <w:tmpl w:val="37DE96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13E24"/>
    <w:multiLevelType w:val="hybridMultilevel"/>
    <w:tmpl w:val="EFEE2CE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01812"/>
    <w:multiLevelType w:val="hybridMultilevel"/>
    <w:tmpl w:val="F0464A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0D7CDF"/>
    <w:multiLevelType w:val="hybridMultilevel"/>
    <w:tmpl w:val="AA8C5C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8B2F1F"/>
    <w:multiLevelType w:val="hybridMultilevel"/>
    <w:tmpl w:val="C53297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F62F87"/>
    <w:multiLevelType w:val="hybridMultilevel"/>
    <w:tmpl w:val="32E01316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755F7E25"/>
    <w:multiLevelType w:val="hybridMultilevel"/>
    <w:tmpl w:val="3E1E80F4"/>
    <w:lvl w:ilvl="0" w:tplc="0C0A000F">
      <w:start w:val="1"/>
      <w:numFmt w:val="decimal"/>
      <w:lvlText w:val="%1."/>
      <w:lvlJc w:val="left"/>
      <w:pPr>
        <w:ind w:left="3663" w:hanging="360"/>
      </w:pPr>
    </w:lvl>
    <w:lvl w:ilvl="1" w:tplc="0C0A0019" w:tentative="1">
      <w:start w:val="1"/>
      <w:numFmt w:val="lowerLetter"/>
      <w:lvlText w:val="%2."/>
      <w:lvlJc w:val="left"/>
      <w:pPr>
        <w:ind w:left="4383" w:hanging="360"/>
      </w:pPr>
    </w:lvl>
    <w:lvl w:ilvl="2" w:tplc="0C0A001B" w:tentative="1">
      <w:start w:val="1"/>
      <w:numFmt w:val="lowerRoman"/>
      <w:lvlText w:val="%3."/>
      <w:lvlJc w:val="right"/>
      <w:pPr>
        <w:ind w:left="5103" w:hanging="180"/>
      </w:pPr>
    </w:lvl>
    <w:lvl w:ilvl="3" w:tplc="0C0A000F" w:tentative="1">
      <w:start w:val="1"/>
      <w:numFmt w:val="decimal"/>
      <w:lvlText w:val="%4."/>
      <w:lvlJc w:val="left"/>
      <w:pPr>
        <w:ind w:left="5823" w:hanging="360"/>
      </w:pPr>
    </w:lvl>
    <w:lvl w:ilvl="4" w:tplc="0C0A0019" w:tentative="1">
      <w:start w:val="1"/>
      <w:numFmt w:val="lowerLetter"/>
      <w:lvlText w:val="%5."/>
      <w:lvlJc w:val="left"/>
      <w:pPr>
        <w:ind w:left="6543" w:hanging="360"/>
      </w:pPr>
    </w:lvl>
    <w:lvl w:ilvl="5" w:tplc="0C0A001B" w:tentative="1">
      <w:start w:val="1"/>
      <w:numFmt w:val="lowerRoman"/>
      <w:lvlText w:val="%6."/>
      <w:lvlJc w:val="right"/>
      <w:pPr>
        <w:ind w:left="7263" w:hanging="180"/>
      </w:pPr>
    </w:lvl>
    <w:lvl w:ilvl="6" w:tplc="0C0A000F" w:tentative="1">
      <w:start w:val="1"/>
      <w:numFmt w:val="decimal"/>
      <w:lvlText w:val="%7."/>
      <w:lvlJc w:val="left"/>
      <w:pPr>
        <w:ind w:left="7983" w:hanging="360"/>
      </w:pPr>
    </w:lvl>
    <w:lvl w:ilvl="7" w:tplc="0C0A0019" w:tentative="1">
      <w:start w:val="1"/>
      <w:numFmt w:val="lowerLetter"/>
      <w:lvlText w:val="%8."/>
      <w:lvlJc w:val="left"/>
      <w:pPr>
        <w:ind w:left="8703" w:hanging="360"/>
      </w:pPr>
    </w:lvl>
    <w:lvl w:ilvl="8" w:tplc="0C0A001B" w:tentative="1">
      <w:start w:val="1"/>
      <w:numFmt w:val="lowerRoman"/>
      <w:lvlText w:val="%9."/>
      <w:lvlJc w:val="right"/>
      <w:pPr>
        <w:ind w:left="9423" w:hanging="180"/>
      </w:pPr>
    </w:lvl>
  </w:abstractNum>
  <w:abstractNum w:abstractNumId="8" w15:restartNumberingAfterBreak="0">
    <w:nsid w:val="7F872F76"/>
    <w:multiLevelType w:val="hybridMultilevel"/>
    <w:tmpl w:val="0A801D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8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3"/>
  </w:num>
  <w:num w:numId="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347"/>
    <w:rsid w:val="000D2CF8"/>
    <w:rsid w:val="00131113"/>
    <w:rsid w:val="00173CA8"/>
    <w:rsid w:val="00173F48"/>
    <w:rsid w:val="00324E68"/>
    <w:rsid w:val="00370FD8"/>
    <w:rsid w:val="00391501"/>
    <w:rsid w:val="003C09B1"/>
    <w:rsid w:val="004870DF"/>
    <w:rsid w:val="004C0F6B"/>
    <w:rsid w:val="004C44AD"/>
    <w:rsid w:val="004E42EC"/>
    <w:rsid w:val="005A66FB"/>
    <w:rsid w:val="005E32FF"/>
    <w:rsid w:val="00620A86"/>
    <w:rsid w:val="00631C3C"/>
    <w:rsid w:val="006464CD"/>
    <w:rsid w:val="006539C3"/>
    <w:rsid w:val="00684641"/>
    <w:rsid w:val="00690AB3"/>
    <w:rsid w:val="006F7078"/>
    <w:rsid w:val="0070235C"/>
    <w:rsid w:val="00712517"/>
    <w:rsid w:val="00735F23"/>
    <w:rsid w:val="007A6F72"/>
    <w:rsid w:val="008369D4"/>
    <w:rsid w:val="008867AE"/>
    <w:rsid w:val="00892ABA"/>
    <w:rsid w:val="008C0A4E"/>
    <w:rsid w:val="008F20B4"/>
    <w:rsid w:val="009E1E5E"/>
    <w:rsid w:val="00A3078E"/>
    <w:rsid w:val="00A81D45"/>
    <w:rsid w:val="00AA466E"/>
    <w:rsid w:val="00AB7FAA"/>
    <w:rsid w:val="00AE602F"/>
    <w:rsid w:val="00BD7EF6"/>
    <w:rsid w:val="00BF0F05"/>
    <w:rsid w:val="00BF6EA1"/>
    <w:rsid w:val="00C50FD2"/>
    <w:rsid w:val="00C60347"/>
    <w:rsid w:val="00CC42D4"/>
    <w:rsid w:val="00CF07B6"/>
    <w:rsid w:val="00CF17E5"/>
    <w:rsid w:val="00D11D0A"/>
    <w:rsid w:val="00D546C5"/>
    <w:rsid w:val="00D61D71"/>
    <w:rsid w:val="00DC06B9"/>
    <w:rsid w:val="00DD04DE"/>
    <w:rsid w:val="00DE611C"/>
    <w:rsid w:val="00E50F4E"/>
    <w:rsid w:val="00EB1E37"/>
    <w:rsid w:val="00F10BE1"/>
    <w:rsid w:val="00F822A3"/>
    <w:rsid w:val="00FC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7E13C9"/>
  <w15:chartTrackingRefBased/>
  <w15:docId w15:val="{B68B0105-8F3D-4ABE-94ED-CAC540681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603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0347"/>
  </w:style>
  <w:style w:type="paragraph" w:styleId="Piedepgina">
    <w:name w:val="footer"/>
    <w:basedOn w:val="Normal"/>
    <w:link w:val="PiedepginaCar"/>
    <w:uiPriority w:val="99"/>
    <w:unhideWhenUsed/>
    <w:rsid w:val="00C603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0347"/>
  </w:style>
  <w:style w:type="paragraph" w:styleId="Prrafodelista">
    <w:name w:val="List Paragraph"/>
    <w:basedOn w:val="Normal"/>
    <w:uiPriority w:val="34"/>
    <w:qFormat/>
    <w:rsid w:val="000D2CF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A6F7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6F7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C0F6B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8C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5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4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1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3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ucab.edu.ve/wp-content/uploads/2023/07/Derecho-30-05-2023-.pdf" TargetMode="External"/><Relationship Id="rId13" Type="http://schemas.openxmlformats.org/officeDocument/2006/relationships/hyperlink" Target="https://www.docusign.com/es-mx/blog/automatizacion-de-contratos" TargetMode="External"/><Relationship Id="rId18" Type="http://schemas.openxmlformats.org/officeDocument/2006/relationships/hyperlink" Target="https://thelegalprompts.com/blog/spellbook-pricing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derecho.ucab.edu.ve/escuela/conexion-profesional/sede-caracas-y-guayana/pasantias/" TargetMode="External"/><Relationship Id="rId17" Type="http://schemas.openxmlformats.org/officeDocument/2006/relationships/hyperlink" Target="https://automateandtweak.com/es/herramienta/spellbook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bm.com/es-es/think/topics/large-language-models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mbitord.com/2026/08/13/emergencia-energetica-venezuela-recorta-el-horario-publico-por-historico-deficit-de-electricidad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ulacm.com/que-es/linkedin-que-es-para-que-sirve-y-como-funciona/" TargetMode="External"/><Relationship Id="rId10" Type="http://schemas.openxmlformats.org/officeDocument/2006/relationships/hyperlink" Target="https://www.justiciayverdad.org/wp-content/uploads/2022/06/Venezuela-Lawyers-under-attack-publications-briefing-paper-2022-SPA.pdf" TargetMode="External"/><Relationship Id="rId19" Type="http://schemas.openxmlformats.org/officeDocument/2006/relationships/hyperlink" Target="https://es.scribd.com/document/884363371/Tabulador-del-Colegio-de-Ingenieros-de-Venezuela-de-Junio-202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NkRD80UPWOtX5S2B8PPBXbnxLuJxZsgA?usp=sharing" TargetMode="External"/><Relationship Id="rId14" Type="http://schemas.openxmlformats.org/officeDocument/2006/relationships/hyperlink" Target="https://drive.google.com/drive/folders/1glvxEV5rnM3PpzRfxqVer5pZlc5bXBut?usp=sharing" TargetMode="External"/><Relationship Id="rId22" Type="http://schemas.openxmlformats.org/officeDocument/2006/relationships/theme" Target="theme/theme1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</Pages>
  <Words>2990</Words>
  <Characters>16448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2026-10-18T18:19:00Z</dcterms:created>
  <dcterms:modified xsi:type="dcterms:W3CDTF">2026-10-19T00:32:00Z</dcterms:modified>
</cp:coreProperties>
</file>