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Lora" w:hAnsi="Lora" w:eastAsia="Lora" w:cs="Lora"/>
        </w:rPr>
      </w:pPr>
      <w:r>
        <w:rPr>
          <w:rFonts w:ascii="Lora" w:hAnsi="Lora" w:eastAsia="Lora" w:cs="Lora"/>
        </w:rPr>
        <w:t>Name: Aroyan Daffa Putra Wahyudi</w:t>
      </w:r>
    </w:p>
    <w:p>
      <w:pPr>
        <w:rPr>
          <w:rFonts w:ascii="Lora" w:hAnsi="Lora" w:eastAsia="Lora" w:cs="Lora"/>
        </w:rPr>
      </w:pPr>
      <w:r>
        <w:rPr>
          <w:rFonts w:ascii="Lora" w:hAnsi="Lora" w:eastAsia="Lora" w:cs="Lora"/>
        </w:rPr>
        <w:t>NIM: 164221104</w:t>
      </w:r>
      <w:bookmarkStart w:id="0" w:name="_GoBack"/>
      <w:bookmarkEnd w:id="0"/>
    </w:p>
    <w:p>
      <w:pPr>
        <w:rPr>
          <w:rFonts w:ascii="Lora" w:hAnsi="Lora" w:eastAsia="Lora" w:cs="Lora"/>
        </w:rPr>
      </w:pPr>
      <w:r>
        <w:rPr>
          <w:rFonts w:ascii="Lora" w:hAnsi="Lora" w:eastAsia="Lora" w:cs="Lora"/>
        </w:rPr>
        <w:t>Major:</w:t>
      </w:r>
      <w:r>
        <w:t xml:space="preserve"> </w:t>
      </w:r>
      <w:r>
        <w:rPr>
          <w:rFonts w:ascii="Lora" w:hAnsi="Lora" w:eastAsia="Lora" w:cs="Lora"/>
        </w:rPr>
        <w:t>Teknologi Sains Data</w:t>
      </w:r>
    </w:p>
    <w:p>
      <w:pPr>
        <w:rPr>
          <w:rFonts w:ascii="Lora" w:hAnsi="Lora" w:eastAsia="Lora" w:cs="Lora"/>
        </w:rPr>
      </w:pPr>
    </w:p>
    <w:p>
      <w:pPr>
        <w:rPr>
          <w:rFonts w:ascii="Lora" w:hAnsi="Lora" w:eastAsia="Lora" w:cs="Lora"/>
        </w:rPr>
      </w:pPr>
      <w:r>
        <w:rPr>
          <w:rFonts w:ascii="Lora" w:hAnsi="Lora" w:eastAsia="Lora" w:cs="Lora"/>
        </w:rPr>
        <w:t>Topic: Education</w:t>
      </w:r>
    </w:p>
    <w:p>
      <w:pPr>
        <w:rPr>
          <w:rFonts w:ascii="Lora" w:hAnsi="Lora" w:eastAsia="Lora" w:cs="Lora"/>
        </w:rPr>
      </w:pPr>
      <w:r>
        <w:rPr>
          <w:rFonts w:ascii="Lora" w:hAnsi="Lora" w:eastAsia="Lora" w:cs="Lora"/>
        </w:rPr>
        <w:t>Should school science curriculums offer a course on combating climate change?</w:t>
      </w:r>
    </w:p>
    <w:p>
      <w:pPr>
        <w:rPr>
          <w:rFonts w:ascii="Lora" w:hAnsi="Lora" w:eastAsia="Lora" w:cs="Lora"/>
          <w:b/>
        </w:rPr>
      </w:pPr>
      <w:r>
        <w:rPr>
          <w:rFonts w:ascii="Lora" w:hAnsi="Lora" w:eastAsia="Lora" w:cs="Lora"/>
          <w:b/>
        </w:rPr>
        <w:t>Research questions:</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Lora" w:hAnsi="Lora" w:eastAsia="Lora" w:cs="Lora"/>
          <w:b/>
          <w:color w:val="000000"/>
        </w:rPr>
      </w:pPr>
      <w:r>
        <w:rPr>
          <w:rFonts w:ascii="Lora" w:hAnsi="Lora" w:eastAsia="Lora" w:cs="Lora"/>
          <w:b/>
        </w:rPr>
        <w:t xml:space="preserve">What are the potential barriers or challenges in implementing a climate change course in school science? </w:t>
      </w:r>
      <w:r>
        <w:rPr>
          <w:rFonts w:ascii="Lora" w:hAnsi="Lora" w:eastAsia="Lora" w:cs="Lora"/>
        </w:rPr>
        <w:t>(to answer Necessity)</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Lora" w:hAnsi="Lora" w:eastAsia="Lora" w:cs="Lora"/>
          <w:b/>
          <w:color w:val="000000"/>
        </w:rPr>
      </w:pPr>
      <w:r>
        <w:rPr>
          <w:rFonts w:ascii="Lora" w:hAnsi="Lora" w:eastAsia="Lora" w:cs="Lora"/>
          <w:b/>
        </w:rPr>
        <w:t xml:space="preserve">What are the long-term effects of introducing climate change course at different stages of schooling? </w:t>
      </w:r>
      <w:r>
        <w:rPr>
          <w:rFonts w:ascii="Lora" w:hAnsi="Lora" w:eastAsia="Lora" w:cs="Lora"/>
        </w:rPr>
        <w:t>(to answer Impact)</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Lora" w:hAnsi="Lora" w:eastAsia="Lora" w:cs="Lora"/>
          <w:b/>
        </w:rPr>
      </w:pPr>
      <w:r>
        <w:rPr>
          <w:rFonts w:ascii="Lora" w:hAnsi="Lora" w:eastAsia="Lora" w:cs="Lora"/>
          <w:b/>
        </w:rPr>
        <w:t xml:space="preserve">What role can technology and digital resources play in augmenting climate change course for students? </w:t>
      </w:r>
      <w:r>
        <w:rPr>
          <w:rFonts w:ascii="Lora" w:hAnsi="Lora" w:eastAsia="Lora" w:cs="Lora"/>
        </w:rPr>
        <w:t>(to answer Approach)</w:t>
      </w:r>
    </w:p>
    <w:tbl>
      <w:tblPr>
        <w:tblStyle w:val="13"/>
        <w:tblW w:w="1523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09"/>
        <w:gridCol w:w="3879"/>
        <w:gridCol w:w="4119"/>
        <w:gridCol w:w="411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wBefore w:w="8" w:type="dxa"/>
          <w:trHeight w:val="238" w:hRule="atLeast"/>
        </w:trPr>
        <w:tc>
          <w:tcPr>
            <w:tcW w:w="3109" w:type="dxa"/>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Lora" w:hAnsi="Lora" w:eastAsia="Lora" w:cs="Lora"/>
                <w:b/>
              </w:rPr>
            </w:pPr>
            <w:r>
              <w:rPr>
                <w:rFonts w:ascii="Lora" w:hAnsi="Lora" w:eastAsia="Lora" w:cs="Lora"/>
                <w:b/>
              </w:rPr>
              <w:t>References</w:t>
            </w:r>
          </w:p>
        </w:tc>
        <w:tc>
          <w:tcPr>
            <w:tcW w:w="387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Lora" w:hAnsi="Lora" w:eastAsia="Lora" w:cs="Lora"/>
                <w:b/>
              </w:rPr>
            </w:pPr>
            <w:r>
              <w:rPr>
                <w:rFonts w:ascii="Lora" w:hAnsi="Lora" w:eastAsia="Lora" w:cs="Lora"/>
                <w:b/>
              </w:rPr>
              <w:t>Direct quotations</w:t>
            </w:r>
          </w:p>
        </w:tc>
        <w:tc>
          <w:tcPr>
            <w:tcW w:w="4119" w:type="dxa"/>
          </w:tcPr>
          <w:p>
            <w:pPr>
              <w:widowControl w:val="0"/>
              <w:pBdr>
                <w:top w:val="none" w:color="auto" w:sz="0" w:space="0"/>
                <w:left w:val="none" w:color="auto" w:sz="0" w:space="0"/>
                <w:bottom w:val="none" w:color="auto" w:sz="0" w:space="0"/>
                <w:right w:val="none" w:color="auto" w:sz="0" w:space="0"/>
                <w:between w:val="none" w:color="auto" w:sz="0" w:space="0"/>
              </w:pBdr>
              <w:tabs>
                <w:tab w:val="left" w:pos="694"/>
                <w:tab w:val="center" w:pos="2028"/>
              </w:tabs>
              <w:spacing w:line="240" w:lineRule="auto"/>
              <w:rPr>
                <w:rFonts w:ascii="Lora" w:hAnsi="Lora" w:eastAsia="Lora" w:cs="Lora"/>
                <w:b/>
              </w:rPr>
            </w:pPr>
            <w:r>
              <w:rPr>
                <w:rFonts w:ascii="Lora" w:hAnsi="Lora" w:eastAsia="Lora" w:cs="Lora"/>
                <w:b/>
              </w:rPr>
              <w:tab/>
            </w:r>
            <w:r>
              <w:rPr>
                <w:rFonts w:ascii="Lora" w:hAnsi="Lora" w:eastAsia="Lora" w:cs="Lora"/>
                <w:b/>
              </w:rPr>
              <w:tab/>
            </w:r>
            <w:r>
              <w:rPr>
                <w:rFonts w:ascii="Lora" w:hAnsi="Lora" w:eastAsia="Lora" w:cs="Lora"/>
                <w:b/>
              </w:rPr>
              <w:t>Summary/ Paraphrase</w:t>
            </w:r>
          </w:p>
        </w:tc>
        <w:tc>
          <w:tcPr>
            <w:tcW w:w="4119" w:type="dxa"/>
          </w:tcPr>
          <w:p>
            <w:pPr>
              <w:widowControl w:val="0"/>
              <w:pBdr>
                <w:top w:val="none" w:color="auto" w:sz="0" w:space="0"/>
                <w:left w:val="none" w:color="auto" w:sz="0" w:space="0"/>
                <w:bottom w:val="none" w:color="auto" w:sz="0" w:space="0"/>
                <w:right w:val="none" w:color="auto" w:sz="0" w:space="0"/>
                <w:between w:val="none" w:color="auto" w:sz="0" w:space="0"/>
              </w:pBdr>
              <w:tabs>
                <w:tab w:val="left" w:pos="694"/>
                <w:tab w:val="center" w:pos="2028"/>
              </w:tabs>
              <w:spacing w:line="240" w:lineRule="auto"/>
              <w:jc w:val="center"/>
              <w:rPr>
                <w:rFonts w:ascii="Lora" w:hAnsi="Lora" w:eastAsia="Lora" w:cs="Lora"/>
                <w:b/>
              </w:rPr>
            </w:pPr>
            <w:r>
              <w:rPr>
                <w:rFonts w:ascii="Lora" w:hAnsi="Lora" w:eastAsia="Lora" w:cs="Lora"/>
                <w:b/>
              </w:rPr>
              <w:t>Responses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wBefore w:w="8" w:type="dxa"/>
          <w:trHeight w:val="1118" w:hRule="atLeast"/>
        </w:trPr>
        <w:tc>
          <w:tcPr>
            <w:tcW w:w="3109" w:type="dxa"/>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Lora" w:hAnsi="Lora" w:eastAsia="Lora" w:cs="Lora"/>
              </w:rPr>
            </w:pPr>
            <w:r>
              <w:rPr>
                <w:rFonts w:ascii="Lora" w:hAnsi="Lora" w:eastAsia="Lora" w:cs="Lora"/>
              </w:rPr>
              <w:t>Vaille Dawson, Efrat Eilam, Sakari Tolppanen, Orit Ben Zvi Assaraf, Tuba Gokpinar, Daphne Goldman, Gusti Agung Paramitha Eka Putri, Agung Wijaya Subiantoro, Peta White &amp; Helen Widdop Quinton (2022) A cross-country comparison of climate change in middle school science and geography curricula, International Journal of Science Education, 44:9, 1379-1398, DOI: 10.1080/09500693.2022.2078011</w:t>
            </w:r>
          </w:p>
        </w:tc>
        <w:tc>
          <w:tcPr>
            <w:tcW w:w="3879" w:type="dxa"/>
            <w:shd w:val="clear" w:color="auto" w:fill="auto"/>
            <w:tcMar>
              <w:top w:w="100" w:type="dxa"/>
              <w:left w:w="100" w:type="dxa"/>
              <w:bottom w:w="100" w:type="dxa"/>
              <w:right w:w="100" w:type="dxa"/>
            </w:tcMar>
          </w:tcPr>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Lora" w:hAnsi="Lora" w:eastAsia="Lora" w:cs="Lora"/>
              </w:rPr>
            </w:pPr>
            <w:r>
              <w:rPr>
                <w:rFonts w:ascii="Lora" w:hAnsi="Lora" w:eastAsia="Lora" w:cs="Lora"/>
              </w:rPr>
              <w:t xml:space="preserve">Climate change education is repeatedly promoted by international bodies, which aim to influence government policies and provide strategic direction.For example, the Lima Ministerial Declaration on Education and Awareness-Raising Highlights the importance of including climate change in school curricula (UNFCCC, 2014, p. 1383). </w:t>
            </w:r>
            <w:r>
              <w:rPr>
                <w:rFonts w:ascii="Lora" w:hAnsi="Lora" w:eastAsia="Lora" w:cs="Lora"/>
                <w:color w:val="FF0000"/>
              </w:rPr>
              <w:t>(Nama, tahun, halaman)</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Lora" w:hAnsi="Lora" w:eastAsia="Lora" w:cs="Lora"/>
              </w:rPr>
            </w:pPr>
            <w:r>
              <w:rPr>
                <w:rFonts w:ascii="Lora" w:hAnsi="Lora" w:eastAsia="Lora" w:cs="Lora"/>
              </w:rPr>
              <w:t>The literature suggests that the most prominent approach to implementation is a broad cross-curriculum approach, in which climate change is dispersed across various curricular subjects (Lehtonen et al., 2019, p. 1384)</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Lora" w:hAnsi="Lora" w:eastAsia="Lora" w:cs="Lora"/>
              </w:rPr>
            </w:pPr>
            <w:r>
              <w:rPr>
                <w:rFonts w:ascii="Lora" w:hAnsi="Lora" w:eastAsia="Lora" w:cs="Lora"/>
              </w:rPr>
              <w:t>The Indonesian middle school curriculum (developed in 2013) has eight core subjects which include Science and Social Studies (Ministry of Education and Culture, 2014, p. 1389)</w:t>
            </w:r>
          </w:p>
        </w:tc>
        <w:tc>
          <w:tcPr>
            <w:tcW w:w="4119" w:type="dxa"/>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Lora" w:hAnsi="Lora" w:eastAsia="Lora" w:cs="Lora"/>
              </w:rPr>
            </w:pPr>
            <w:r>
              <w:rPr>
                <w:rFonts w:ascii="Lora" w:hAnsi="Lora" w:eastAsia="Lora" w:cs="Lora"/>
              </w:rPr>
              <w:t>The article emphasizes the often overlooked role of the education sector in effectively addressing the challenges posed by climate change. Despite growing recognition of the importance of education in this context, it is still not fully utilized as a strategic resource for both mitigation and adaptation to climate change. The lack of a coherent framework for climate change education (CCE) is noted among education stakeholders in various countries.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Lora" w:hAnsi="Lora" w:eastAsia="Lora" w:cs="Lora"/>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Lora" w:hAnsi="Lora" w:eastAsia="Lora" w:cs="Lora"/>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Lora" w:hAnsi="Lora" w:eastAsia="Lora" w:cs="Lora"/>
              </w:rPr>
            </w:pPr>
          </w:p>
        </w:tc>
        <w:tc>
          <w:tcPr>
            <w:tcW w:w="4119" w:type="dxa"/>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Lora" w:hAnsi="Lora" w:eastAsia="Lora" w:cs="Lora"/>
              </w:rPr>
            </w:pPr>
            <w:r>
              <w:rPr>
                <w:rFonts w:ascii="Lora" w:hAnsi="Lora" w:eastAsia="Lora" w:cs="Lora"/>
              </w:rPr>
              <w:t>It appears that the article  discusses the underutilization of the education sector in addressing climate change and emphasizes the need for a coherent framework for climate change education (CCE). The article suggests integrating CCE into Education for Sustainable Development (ESD) under the term Climate Change Education for Sustainable Development (CCESD). This integration aims to enhance learners' understanding of the causes and consequences of climate change and prepare them to take actions to address it.</w:t>
            </w:r>
          </w:p>
        </w:tc>
      </w:tr>
    </w:tbl>
    <w:tbl>
      <w:tblPr>
        <w:tblStyle w:val="11"/>
        <w:tblW w:w="15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59"/>
        <w:gridCol w:w="3759"/>
        <w:gridCol w:w="376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59" w:type="dxa"/>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Lora" w:hAnsi="Lora" w:eastAsia="Lora" w:cs="Lora"/>
                <w:b/>
                <w:sz w:val="22"/>
                <w:szCs w:val="22"/>
                <w:lang w:val="en" w:eastAsia="zh-CN" w:bidi="ar-SA"/>
              </w:rPr>
            </w:pPr>
            <w:r>
              <w:rPr>
                <w:rFonts w:ascii="Lora" w:hAnsi="Lora" w:eastAsia="Lora" w:cs="Lora"/>
                <w:b/>
              </w:rPr>
              <w:t>References</w:t>
            </w:r>
          </w:p>
        </w:tc>
        <w:tc>
          <w:tcPr>
            <w:tcW w:w="3759" w:type="dxa"/>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Lora" w:hAnsi="Lora" w:eastAsia="Lora" w:cs="Lora"/>
                <w:b/>
                <w:sz w:val="22"/>
                <w:szCs w:val="22"/>
                <w:lang w:val="en" w:eastAsia="zh-CN" w:bidi="ar-SA"/>
              </w:rPr>
            </w:pPr>
            <w:r>
              <w:rPr>
                <w:rFonts w:ascii="Lora" w:hAnsi="Lora" w:eastAsia="Lora" w:cs="Lora"/>
                <w:b/>
              </w:rPr>
              <w:t>Direct quotations</w:t>
            </w:r>
          </w:p>
        </w:tc>
        <w:tc>
          <w:tcPr>
            <w:tcW w:w="3760" w:type="dxa"/>
            <w:vAlign w:val="top"/>
          </w:tcPr>
          <w:p>
            <w:pPr>
              <w:widowControl w:val="0"/>
              <w:pBdr>
                <w:top w:val="none" w:color="auto" w:sz="0" w:space="0"/>
                <w:left w:val="none" w:color="auto" w:sz="0" w:space="0"/>
                <w:bottom w:val="none" w:color="auto" w:sz="0" w:space="0"/>
                <w:right w:val="none" w:color="auto" w:sz="0" w:space="0"/>
                <w:between w:val="none" w:color="auto" w:sz="0" w:space="0"/>
              </w:pBdr>
              <w:tabs>
                <w:tab w:val="left" w:pos="694"/>
                <w:tab w:val="center" w:pos="2028"/>
              </w:tabs>
              <w:spacing w:line="240" w:lineRule="auto"/>
              <w:rPr>
                <w:rFonts w:ascii="Lora" w:hAnsi="Lora" w:eastAsia="Lora" w:cs="Lora"/>
                <w:b/>
                <w:sz w:val="22"/>
                <w:szCs w:val="22"/>
                <w:lang w:val="en" w:eastAsia="zh-CN" w:bidi="ar-SA"/>
              </w:rPr>
            </w:pPr>
            <w:r>
              <w:rPr>
                <w:rFonts w:ascii="Lora" w:hAnsi="Lora" w:eastAsia="Lora" w:cs="Lora"/>
                <w:b/>
              </w:rPr>
              <w:tab/>
            </w:r>
            <w:r>
              <w:rPr>
                <w:rFonts w:ascii="Lora" w:hAnsi="Lora" w:eastAsia="Lora" w:cs="Lora"/>
                <w:b/>
              </w:rPr>
              <w:tab/>
            </w:r>
            <w:r>
              <w:rPr>
                <w:rFonts w:ascii="Lora" w:hAnsi="Lora" w:eastAsia="Lora" w:cs="Lora"/>
                <w:b/>
              </w:rPr>
              <w:t>Summary/ Paraphrase</w:t>
            </w:r>
          </w:p>
        </w:tc>
        <w:tc>
          <w:tcPr>
            <w:tcW w:w="3760" w:type="dxa"/>
            <w:vAlign w:val="top"/>
          </w:tcPr>
          <w:p>
            <w:pPr>
              <w:widowControl w:val="0"/>
              <w:pBdr>
                <w:top w:val="none" w:color="auto" w:sz="0" w:space="0"/>
                <w:left w:val="none" w:color="auto" w:sz="0" w:space="0"/>
                <w:bottom w:val="none" w:color="auto" w:sz="0" w:space="0"/>
                <w:right w:val="none" w:color="auto" w:sz="0" w:space="0"/>
                <w:between w:val="none" w:color="auto" w:sz="0" w:space="0"/>
              </w:pBdr>
              <w:tabs>
                <w:tab w:val="left" w:pos="694"/>
                <w:tab w:val="center" w:pos="2028"/>
              </w:tabs>
              <w:spacing w:line="240" w:lineRule="auto"/>
              <w:jc w:val="center"/>
              <w:rPr>
                <w:rFonts w:ascii="Lora" w:hAnsi="Lora" w:eastAsia="Lora" w:cs="Lora"/>
                <w:b/>
                <w:sz w:val="22"/>
                <w:szCs w:val="22"/>
                <w:lang w:val="en" w:eastAsia="zh-CN" w:bidi="ar-SA"/>
              </w:rPr>
            </w:pPr>
            <w:r>
              <w:rPr>
                <w:rFonts w:ascii="Lora" w:hAnsi="Lora" w:eastAsia="Lora" w:cs="Lora"/>
                <w:b/>
              </w:rPr>
              <w:t>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59" w:type="dxa"/>
          </w:tcPr>
          <w:p>
            <w:pPr>
              <w:rPr>
                <w:rFonts w:ascii="Lora" w:hAnsi="Lora" w:eastAsia="Lora" w:cs="Lora"/>
                <w:vertAlign w:val="baseline"/>
              </w:rPr>
            </w:pPr>
          </w:p>
        </w:tc>
        <w:tc>
          <w:tcPr>
            <w:tcW w:w="3759" w:type="dxa"/>
          </w:tcPr>
          <w:p>
            <w:pPr>
              <w:rPr>
                <w:rFonts w:ascii="Lora" w:hAnsi="Lora" w:eastAsia="Lora" w:cs="Lora"/>
                <w:vertAlign w:val="baseline"/>
              </w:rPr>
            </w:pPr>
          </w:p>
        </w:tc>
        <w:tc>
          <w:tcPr>
            <w:tcW w:w="3760" w:type="dxa"/>
          </w:tcPr>
          <w:p>
            <w:pPr>
              <w:rPr>
                <w:rFonts w:ascii="Lora" w:hAnsi="Lora" w:eastAsia="Lora" w:cs="Lora"/>
                <w:vertAlign w:val="baseline"/>
              </w:rPr>
            </w:pPr>
          </w:p>
        </w:tc>
        <w:tc>
          <w:tcPr>
            <w:tcW w:w="3760" w:type="dxa"/>
          </w:tcPr>
          <w:p>
            <w:pPr>
              <w:rPr>
                <w:rFonts w:ascii="Lora" w:hAnsi="Lora" w:eastAsia="Lora" w:cs="Lora"/>
                <w:vertAlign w:val="baseline"/>
              </w:rPr>
            </w:pPr>
          </w:p>
        </w:tc>
      </w:tr>
    </w:tbl>
    <w:p>
      <w:pPr>
        <w:rPr>
          <w:rFonts w:ascii="Lora" w:hAnsi="Lora" w:eastAsia="Lora" w:cs="Lora"/>
        </w:rPr>
      </w:pPr>
    </w:p>
    <w:sectPr>
      <w:pgSz w:w="16838" w:h="11906" w:orient="landscape"/>
      <w:pgMar w:top="1008" w:right="1008" w:bottom="1008" w:left="100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ra">
    <w:altName w:val="Segoe Print"/>
    <w:panose1 w:val="00000000000000000000"/>
    <w:charset w:val="00"/>
    <w:family w:val="auto"/>
    <w:pitch w:val="default"/>
    <w:sig w:usb0="00000000" w:usb1="00000000" w:usb2="00000000" w:usb3="00000000" w:csb0="00000097"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CD1C61"/>
    <w:multiLevelType w:val="multilevel"/>
    <w:tmpl w:val="3ACD1C61"/>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E3F04BD"/>
    <w:multiLevelType w:val="multilevel"/>
    <w:tmpl w:val="7E3F04BD"/>
    <w:lvl w:ilvl="0" w:tentative="0">
      <w:start w:val="5"/>
      <w:numFmt w:val="bullet"/>
      <w:lvlText w:val="-"/>
      <w:lvlJc w:val="left"/>
      <w:pPr>
        <w:ind w:left="720" w:hanging="360"/>
      </w:pPr>
      <w:rPr>
        <w:rFonts w:ascii="Lora" w:hAnsi="Lora" w:eastAsia="Lora" w:cs="Lora"/>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1E"/>
    <w:rsid w:val="00004110"/>
    <w:rsid w:val="00005D95"/>
    <w:rsid w:val="004B4CD3"/>
    <w:rsid w:val="00636A69"/>
    <w:rsid w:val="00847589"/>
    <w:rsid w:val="00CE301E"/>
    <w:rsid w:val="00FE512B"/>
    <w:rsid w:val="21D0061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table" w:styleId="11">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keepNext/>
      <w:keepLines/>
      <w:spacing w:after="60"/>
    </w:pPr>
    <w:rPr>
      <w:sz w:val="52"/>
      <w:szCs w:val="52"/>
    </w:rPr>
  </w:style>
  <w:style w:type="table" w:customStyle="1" w:styleId="13">
    <w:name w:val="_Style 11"/>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482</Words>
  <Characters>2748</Characters>
  <Lines>22</Lines>
  <Paragraphs>6</Paragraphs>
  <TotalTime>22</TotalTime>
  <ScaleCrop>false</ScaleCrop>
  <LinksUpToDate>false</LinksUpToDate>
  <CharactersWithSpaces>3224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2023-12-30T06:09:00Z</dcterms:created>
  <dc:creator>COMPUTER</dc:creator>
  <cp:lastModifiedBy>fabyan riza</cp:lastModifiedBy>
  <dcterms:modified xsi:type="dcterms:W3CDTF">2023-12-31T08:59:23Z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E4A59A43631243B1A889BEC0EF19EB6B_12</vt:lpwstr>
  </property>
</Properties>
</file>