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/>
          <w:b/>
          <w:color w:val="1A233A"/>
          <w:sz w:val="36"/>
        </w:rPr>
        <w:t>FABIAN ALVAREZ-PRIMO</w:t>
      </w:r>
    </w:p>
    <w:p>
      <w:pPr>
        <w:spacing w:before="40" w:after="40"/>
        <w:jc w:val="center"/>
      </w:pPr>
      <w:r>
        <w:rPr>
          <w:rFonts w:ascii="Calibri" w:hAnsi="Calibri"/>
          <w:b w:val="0"/>
          <w:color w:val="1F4E79"/>
          <w:sz w:val="20"/>
        </w:rPr>
        <w:t>OPERATIONS LEADER  |  REGULATED ENVIRONMENTS  |  BIOMANUFACTURING</w:t>
      </w:r>
    </w:p>
    <w:p>
      <w:pPr>
        <w:spacing w:before="20" w:after="80"/>
        <w:jc w:val="center"/>
      </w:pPr>
      <w:r>
        <w:rPr>
          <w:rFonts w:ascii="Calibri" w:hAnsi="Calibri"/>
          <w:color w:val="404040"/>
          <w:sz w:val="18"/>
        </w:rPr>
        <w:t>Savannah, GA  |  +1 (915) 603-2117  |  fpalvarez23@gmail.com</w:t>
      </w:r>
    </w:p>
    <w:p>
      <w:pPr>
        <w:spacing w:before="160" w:after="20"/>
      </w:pPr>
      <w:r>
        <w:rPr>
          <w:rFonts w:ascii="Calibri" w:hAnsi="Calibri"/>
          <w:b/>
          <w:color w:val="1F4E79"/>
          <w:sz w:val="19"/>
        </w:rPr>
        <w:t>EXECUTIVE SUMMARY</w:t>
      </w:r>
    </w:p>
    <w:p>
      <w:pPr>
        <w:spacing w:before="0" w:after="40"/>
        <w:pBdr>
          <w:bottom w:val="single" w:sz="8" w:space="1" w:color="1F4E79"/>
        </w:pBdr>
      </w:pPr>
    </w:p>
    <w:p>
      <w:pPr>
        <w:spacing w:before="60" w:after="60"/>
        <w:ind w:left="72"/>
      </w:pPr>
      <w:r>
        <w:rPr>
          <w:rFonts w:ascii="Calibri" w:hAnsi="Calibri"/>
          <w:b w:val="0"/>
          <w:color w:val="000000"/>
          <w:sz w:val="19"/>
        </w:rPr>
        <w:t xml:space="preserve">Operations leader with PhD in biomedical engineering and proven track record scaling regulated processes. Currently managing </w:t>
      </w:r>
      <w:r>
        <w:rPr>
          <w:rFonts w:ascii="Calibri" w:hAnsi="Calibri"/>
          <w:b/>
          <w:color w:val="000000"/>
          <w:sz w:val="19"/>
        </w:rPr>
        <w:t>40+ team</w:t>
      </w:r>
      <w:r>
        <w:rPr>
          <w:rFonts w:ascii="Calibri" w:hAnsi="Calibri"/>
          <w:b w:val="0"/>
          <w:color w:val="000000"/>
          <w:sz w:val="19"/>
        </w:rPr>
        <w:t xml:space="preserve"> operations at Amazon with </w:t>
      </w:r>
      <w:r>
        <w:rPr>
          <w:rFonts w:ascii="Calibri" w:hAnsi="Calibri"/>
          <w:b/>
          <w:color w:val="000000"/>
          <w:sz w:val="19"/>
        </w:rPr>
        <w:t>99.7% quality compliance</w:t>
      </w:r>
      <w:r>
        <w:rPr>
          <w:rFonts w:ascii="Calibri" w:hAnsi="Calibri"/>
          <w:b w:val="0"/>
          <w:color w:val="000000"/>
          <w:sz w:val="19"/>
        </w:rPr>
        <w:t>. Deep expertise in CLIA/COLA-regulated environments, GMP-adjacent operations, and automation—bridging scientific rigor with operational excellence for biomanufacturing scale-up.</w:t>
      </w:r>
    </w:p>
    <w:p>
      <w:pPr>
        <w:spacing w:before="160" w:after="20"/>
      </w:pPr>
      <w:r>
        <w:rPr>
          <w:rFonts w:ascii="Calibri" w:hAnsi="Calibri"/>
          <w:b/>
          <w:color w:val="1F4E79"/>
          <w:sz w:val="19"/>
        </w:rPr>
        <w:t>CORE COMPETENCIES</w:t>
      </w:r>
    </w:p>
    <w:p>
      <w:pPr>
        <w:spacing w:before="0" w:after="40"/>
        <w:pBdr>
          <w:bottom w:val="single" w:sz="8" w:space="1" w:color="1F4E79"/>
        </w:pBdr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• Regulated Operations (CLIA, COLA, GMP-adjacent)</w:t>
            </w:r>
          </w:p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• Team Leadership &amp; Development (40+ Direct Reports)</w:t>
            </w:r>
          </w:p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• Quality Systems &amp; Compliance</w:t>
            </w:r>
          </w:p>
        </w:tc>
      </w:tr>
      <w:tr>
        <w:tc>
          <w:tcPr>
            <w:tcW w:type="dxa" w:w="340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• Process Optimization &amp; Lean Manufacturing</w:t>
            </w:r>
          </w:p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• Automation &amp; Data Analytics (Python, R, SQL)</w:t>
            </w:r>
          </w:p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• Cross-functional Collaboration</w:t>
            </w:r>
          </w:p>
        </w:tc>
      </w:tr>
      <w:tr>
        <w:tc>
          <w:tcPr>
            <w:tcW w:type="dxa" w:w="340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• Scientific &amp; Technical Depth (PhD, 8 Publications)</w:t>
            </w:r>
          </w:p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• Biomanufacturing Scale-up &amp; cGMP Processes</w:t>
            </w:r>
          </w:p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• KPI Development &amp; Performance Monitoring</w:t>
            </w:r>
          </w:p>
        </w:tc>
      </w:tr>
    </w:tbl>
    <w:p>
      <w:pPr>
        <w:spacing w:before="160" w:after="20"/>
      </w:pPr>
      <w:r>
        <w:rPr>
          <w:rFonts w:ascii="Calibri" w:hAnsi="Calibri"/>
          <w:b/>
          <w:color w:val="1F4E79"/>
          <w:sz w:val="19"/>
        </w:rPr>
        <w:t>PROFESSIONAL EXPERIENCE</w:t>
      </w:r>
    </w:p>
    <w:p>
      <w:pPr>
        <w:spacing w:before="0" w:after="40"/>
        <w:pBdr>
          <w:bottom w:val="single" w:sz="8" w:space="1" w:color="1F4E79"/>
        </w:pBdr>
      </w:pPr>
    </w:p>
    <w:p>
      <w:pPr>
        <w:spacing w:before="120" w:after="20"/>
      </w:pPr>
      <w:r>
        <w:rPr>
          <w:rFonts w:ascii="Calibri" w:hAnsi="Calibri"/>
          <w:b/>
          <w:color w:val="000000"/>
          <w:sz w:val="20"/>
        </w:rPr>
        <w:t>Operations Manager II  |  Amazon</w:t>
      </w:r>
      <w:r>
        <w:rPr>
          <w:rFonts w:ascii="Calibri" w:hAnsi="Calibri"/>
          <w:b w:val="0"/>
          <w:color w:val="404040"/>
          <w:sz w:val="19"/>
        </w:rPr>
        <w:t xml:space="preserve">  |  Savannah, GA  |  2023 – Present</w:t>
      </w:r>
    </w:p>
    <w:p>
      <w:pPr>
        <w:pStyle w:val="ListBullet"/>
        <w:spacing w:before="20" w:after="20"/>
        <w:ind w:left="432" w:hanging="216"/>
      </w:pPr>
      <w:r>
        <w:rPr>
          <w:rFonts w:ascii="Calibri" w:hAnsi="Calibri"/>
          <w:b w:val="0"/>
          <w:color w:val="000000"/>
          <w:sz w:val="19"/>
        </w:rPr>
        <w:t xml:space="preserve">Manage operations team of </w:t>
      </w:r>
      <w:r>
        <w:rPr>
          <w:rFonts w:ascii="Calibri" w:hAnsi="Calibri"/>
          <w:b/>
          <w:color w:val="000000"/>
          <w:sz w:val="19"/>
        </w:rPr>
        <w:t>40+</w:t>
      </w:r>
      <w:r>
        <w:rPr>
          <w:rFonts w:ascii="Calibri" w:hAnsi="Calibri"/>
          <w:b w:val="0"/>
          <w:color w:val="000000"/>
          <w:sz w:val="19"/>
        </w:rPr>
        <w:t xml:space="preserve"> associates across a compressed 4-day schedule in a high-volume fulfillment environment, maintaining </w:t>
      </w:r>
      <w:r>
        <w:rPr>
          <w:rFonts w:ascii="Calibri" w:hAnsi="Calibri"/>
          <w:b/>
          <w:color w:val="000000"/>
          <w:sz w:val="19"/>
        </w:rPr>
        <w:t>99.7%</w:t>
      </w:r>
      <w:r>
        <w:rPr>
          <w:rFonts w:ascii="Calibri" w:hAnsi="Calibri"/>
          <w:b w:val="0"/>
          <w:color w:val="000000"/>
          <w:sz w:val="19"/>
        </w:rPr>
        <w:t xml:space="preserve"> quality compliance.</w:t>
      </w:r>
    </w:p>
    <w:p>
      <w:pPr>
        <w:pStyle w:val="ListBullet"/>
        <w:spacing w:before="20" w:after="20"/>
        <w:ind w:left="432" w:hanging="216"/>
      </w:pPr>
      <w:r>
        <w:rPr>
          <w:rFonts w:ascii="Calibri" w:hAnsi="Calibri"/>
          <w:b w:val="0"/>
          <w:color w:val="000000"/>
          <w:sz w:val="19"/>
        </w:rPr>
        <w:t>Implemented Python-based labor forecasting models, reducing scheduling variance and optimizing resource allocation across shifts.</w:t>
      </w:r>
    </w:p>
    <w:p>
      <w:pPr>
        <w:pStyle w:val="ListBullet"/>
        <w:spacing w:before="20" w:after="20"/>
        <w:ind w:left="432" w:hanging="216"/>
      </w:pPr>
      <w:r>
        <w:rPr>
          <w:rFonts w:ascii="Calibri" w:hAnsi="Calibri"/>
          <w:b w:val="0"/>
          <w:color w:val="000000"/>
          <w:sz w:val="19"/>
        </w:rPr>
        <w:t>Led cross-functional process improvement initiatives applying Lean methodologies, driving measurable efficiency gains and waste reduction.</w:t>
      </w:r>
    </w:p>
    <w:p>
      <w:pPr>
        <w:pStyle w:val="ListBullet"/>
        <w:spacing w:before="20" w:after="20"/>
        <w:ind w:left="432" w:hanging="216"/>
      </w:pPr>
      <w:r>
        <w:rPr>
          <w:rFonts w:ascii="Calibri" w:hAnsi="Calibri"/>
          <w:b w:val="0"/>
          <w:color w:val="000000"/>
          <w:sz w:val="19"/>
        </w:rPr>
        <w:t>Established quality control protocols and real-time KPI dashboards for performance monitoring across all operational metrics.</w:t>
      </w:r>
    </w:p>
    <w:p>
      <w:pPr>
        <w:pStyle w:val="ListBullet"/>
        <w:spacing w:before="20" w:after="20"/>
        <w:ind w:left="432" w:hanging="216"/>
      </w:pPr>
      <w:r>
        <w:rPr>
          <w:rFonts w:ascii="Calibri" w:hAnsi="Calibri"/>
          <w:b w:val="0"/>
          <w:color w:val="000000"/>
          <w:sz w:val="19"/>
        </w:rPr>
        <w:t>Developed and delivered team training programs that improved onboarding efficiency and accelerated time-to-productivity for new associates.</w:t>
      </w:r>
    </w:p>
    <w:p>
      <w:pPr>
        <w:pStyle w:val="ListBullet"/>
        <w:spacing w:before="20" w:after="20"/>
        <w:ind w:left="432" w:hanging="216"/>
      </w:pPr>
      <w:r>
        <w:rPr>
          <w:rFonts w:ascii="Calibri" w:hAnsi="Calibri"/>
          <w:b w:val="0"/>
          <w:color w:val="000000"/>
          <w:sz w:val="19"/>
        </w:rPr>
        <w:t>Engineered a three-layer Ship Dock intelligence system — a Tampermonkey browser automation script scraping Amazon's Foresight WIP tool across paginated chute/CPT data, a real-time Google Sheets analytics layer tracking recirculation root causes, staffing ratios, DPMO, and hourly throughput, and a v3.0 staffing and rate management tool — replacing entirely manual workflows with an integrated data pipeline purpose-built around gaps in existing tooling.</w:t>
      </w:r>
    </w:p>
    <w:p>
      <w:pPr>
        <w:pStyle w:val="ListBullet"/>
        <w:spacing w:before="20" w:after="20"/>
        <w:ind w:left="432" w:hanging="216"/>
      </w:pPr>
      <w:r>
        <w:rPr>
          <w:rFonts w:ascii="Calibri" w:hAnsi="Calibri"/>
          <w:b w:val="0"/>
          <w:color w:val="000000"/>
          <w:sz w:val="19"/>
        </w:rPr>
        <w:t xml:space="preserve">Drove an </w:t>
      </w:r>
      <w:r>
        <w:rPr>
          <w:rFonts w:ascii="Calibri" w:hAnsi="Calibri"/>
          <w:b/>
          <w:color w:val="000000"/>
          <w:sz w:val="19"/>
        </w:rPr>
        <w:t>82% improvement in dock rate (220 → 400+ units/hr)</w:t>
      </w:r>
      <w:r>
        <w:rPr>
          <w:rFonts w:ascii="Calibri" w:hAnsi="Calibri"/>
          <w:b w:val="0"/>
          <w:color w:val="000000"/>
          <w:sz w:val="19"/>
        </w:rPr>
        <w:t xml:space="preserve"> and reduced recirculation from </w:t>
      </w:r>
      <w:r>
        <w:rPr>
          <w:rFonts w:ascii="Calibri" w:hAnsi="Calibri"/>
          <w:b/>
          <w:color w:val="000000"/>
          <w:sz w:val="19"/>
        </w:rPr>
        <w:t>5% to below 2%</w:t>
      </w:r>
      <w:r>
        <w:rPr>
          <w:rFonts w:ascii="Calibri" w:hAnsi="Calibri"/>
          <w:b w:val="0"/>
          <w:color w:val="000000"/>
          <w:sz w:val="19"/>
        </w:rPr>
        <w:t xml:space="preserve"> through data-driven staffing models, chute-level congestion diagnostics, and process standardization across palletizing, water spider, DCM, and VRETS operations — the latter built from scratch with no prior operational structure at site.</w:t>
      </w:r>
    </w:p>
    <w:p>
      <w:pPr>
        <w:spacing w:before="120" w:after="20"/>
      </w:pPr>
      <w:r>
        <w:rPr>
          <w:rFonts w:ascii="Calibri" w:hAnsi="Calibri"/>
          <w:b/>
          <w:color w:val="000000"/>
          <w:sz w:val="20"/>
        </w:rPr>
        <w:t>Post-doctoral Research Fellow  |  Texas Tech University Health Sciences Center (TTUHSCEP)</w:t>
      </w:r>
      <w:r>
        <w:rPr>
          <w:rFonts w:ascii="Calibri" w:hAnsi="Calibri"/>
          <w:b w:val="0"/>
          <w:color w:val="404040"/>
          <w:sz w:val="19"/>
        </w:rPr>
        <w:t xml:space="preserve">  |  El Paso, TX  |  2022 – 2023</w:t>
      </w:r>
    </w:p>
    <w:p>
      <w:pPr>
        <w:pStyle w:val="ListBullet"/>
        <w:spacing w:before="20" w:after="20"/>
        <w:ind w:left="432" w:hanging="216"/>
      </w:pPr>
      <w:r>
        <w:rPr>
          <w:rFonts w:ascii="Calibri" w:hAnsi="Calibri"/>
          <w:b w:val="0"/>
          <w:color w:val="000000"/>
          <w:sz w:val="19"/>
        </w:rPr>
        <w:t xml:space="preserve">Led iPSC reprogramming project, directing non-integrating conversion of human PBMCs into clinically relevant induced Pluripotent Stem Cells under </w:t>
      </w:r>
      <w:r>
        <w:rPr>
          <w:rFonts w:ascii="Calibri" w:hAnsi="Calibri"/>
          <w:b/>
          <w:color w:val="000000"/>
          <w:sz w:val="19"/>
        </w:rPr>
        <w:t>cGMP-compliant</w:t>
      </w:r>
      <w:r>
        <w:rPr>
          <w:rFonts w:ascii="Calibri" w:hAnsi="Calibri"/>
          <w:b w:val="0"/>
          <w:color w:val="000000"/>
          <w:sz w:val="19"/>
        </w:rPr>
        <w:t xml:space="preserve"> protocols for neuropsychiatric disease modeling.</w:t>
      </w:r>
    </w:p>
    <w:p>
      <w:pPr>
        <w:pStyle w:val="ListBullet"/>
        <w:spacing w:before="20" w:after="20"/>
        <w:ind w:left="432" w:hanging="216"/>
      </w:pPr>
      <w:r>
        <w:rPr>
          <w:rFonts w:ascii="Calibri" w:hAnsi="Calibri"/>
          <w:b w:val="0"/>
          <w:color w:val="000000"/>
          <w:sz w:val="19"/>
        </w:rPr>
        <w:t>Oversaw biobanking operations including sample intake, processing, storage, and chain-of-custody documentation to maintain regulatory integrity.</w:t>
      </w:r>
    </w:p>
    <w:p>
      <w:pPr>
        <w:pStyle w:val="ListBullet"/>
        <w:spacing w:before="20" w:after="20"/>
        <w:ind w:left="432" w:hanging="216"/>
      </w:pPr>
      <w:r>
        <w:rPr>
          <w:rFonts w:ascii="Calibri" w:hAnsi="Calibri"/>
          <w:b w:val="0"/>
          <w:color w:val="000000"/>
          <w:sz w:val="19"/>
        </w:rPr>
        <w:t>Managed multi-experiment research data pipelines, applying statistical analysis (R, Python) for transcriptomic and biomarker datasets.</w:t>
      </w:r>
    </w:p>
    <w:p>
      <w:pPr>
        <w:pStyle w:val="ListBullet"/>
        <w:spacing w:before="20" w:after="20"/>
        <w:ind w:left="432" w:hanging="216"/>
      </w:pPr>
      <w:r>
        <w:rPr>
          <w:rFonts w:ascii="Calibri" w:hAnsi="Calibri"/>
          <w:b w:val="0"/>
          <w:color w:val="000000"/>
          <w:sz w:val="19"/>
        </w:rPr>
        <w:t>Collaborated across neuroscience, clinical, and molecular biology teams to coordinate study timelines, protocols, and data deliverables.</w:t>
      </w:r>
    </w:p>
    <w:p>
      <w:pPr>
        <w:spacing w:before="120" w:after="20"/>
      </w:pPr>
      <w:r>
        <w:rPr>
          <w:rFonts w:ascii="Calibri" w:hAnsi="Calibri"/>
          <w:b/>
          <w:color w:val="000000"/>
          <w:sz w:val="20"/>
        </w:rPr>
        <w:t>Clinical Laboratory Scientist &amp; Supervisor  |  West Texas Pain Institute (WTPI)</w:t>
      </w:r>
      <w:r>
        <w:rPr>
          <w:rFonts w:ascii="Calibri" w:hAnsi="Calibri"/>
          <w:b w:val="0"/>
          <w:color w:val="404040"/>
          <w:sz w:val="19"/>
        </w:rPr>
        <w:t xml:space="preserve">  |  El Paso, TX  |  2021 – 2022</w:t>
      </w:r>
    </w:p>
    <w:p>
      <w:pPr>
        <w:pStyle w:val="ListBullet"/>
        <w:spacing w:before="20" w:after="20"/>
        <w:ind w:left="432" w:hanging="216"/>
      </w:pPr>
      <w:r>
        <w:rPr>
          <w:rFonts w:ascii="Calibri" w:hAnsi="Calibri"/>
          <w:b w:val="0"/>
          <w:color w:val="000000"/>
          <w:sz w:val="19"/>
        </w:rPr>
        <w:t xml:space="preserve">Oversaw Clinical Laboratory Testing operations processing </w:t>
      </w:r>
      <w:r>
        <w:rPr>
          <w:rFonts w:ascii="Calibri" w:hAnsi="Calibri"/>
          <w:b/>
          <w:color w:val="000000"/>
          <w:sz w:val="19"/>
        </w:rPr>
        <w:t>1,300+</w:t>
      </w:r>
      <w:r>
        <w:rPr>
          <w:rFonts w:ascii="Calibri" w:hAnsi="Calibri"/>
          <w:b/>
          <w:color w:val="000000"/>
          <w:sz w:val="19"/>
        </w:rPr>
        <w:t xml:space="preserve"> patient samples monthly</w:t>
      </w:r>
      <w:r>
        <w:rPr>
          <w:rFonts w:ascii="Calibri" w:hAnsi="Calibri"/>
          <w:b w:val="0"/>
          <w:color w:val="000000"/>
          <w:sz w:val="19"/>
        </w:rPr>
        <w:t xml:space="preserve">, leading a team of </w:t>
      </w:r>
      <w:r>
        <w:rPr>
          <w:rFonts w:ascii="Calibri" w:hAnsi="Calibri"/>
          <w:b/>
          <w:color w:val="000000"/>
          <w:sz w:val="19"/>
        </w:rPr>
        <w:t>9 laboratory professionals</w:t>
      </w:r>
      <w:r>
        <w:rPr>
          <w:rFonts w:ascii="Calibri" w:hAnsi="Calibri"/>
          <w:b w:val="0"/>
          <w:color w:val="000000"/>
          <w:sz w:val="19"/>
        </w:rPr>
        <w:t xml:space="preserve"> within a Pain Medicine practice.</w:t>
      </w:r>
    </w:p>
    <w:p>
      <w:pPr>
        <w:pStyle w:val="ListBullet"/>
        <w:spacing w:before="20" w:after="20"/>
        <w:ind w:left="432" w:hanging="216"/>
      </w:pPr>
      <w:r>
        <w:rPr>
          <w:rFonts w:ascii="Calibri" w:hAnsi="Calibri"/>
          <w:b w:val="0"/>
          <w:color w:val="000000"/>
          <w:sz w:val="19"/>
        </w:rPr>
        <w:t xml:space="preserve">Ensured full </w:t>
      </w:r>
      <w:r>
        <w:rPr>
          <w:rFonts w:ascii="Calibri" w:hAnsi="Calibri"/>
          <w:b/>
          <w:color w:val="000000"/>
          <w:sz w:val="19"/>
        </w:rPr>
        <w:t>CLIA and COLA regulatory compliance</w:t>
      </w:r>
      <w:r>
        <w:rPr>
          <w:rFonts w:ascii="Calibri" w:hAnsi="Calibri"/>
          <w:b w:val="0"/>
          <w:color w:val="000000"/>
          <w:sz w:val="19"/>
        </w:rPr>
        <w:t xml:space="preserve"> across all laboratory operations, including DHHS guideline adherence and Drug of Abuse protocols.</w:t>
      </w:r>
    </w:p>
    <w:p>
      <w:pPr>
        <w:pStyle w:val="ListBullet"/>
        <w:spacing w:before="20" w:after="20"/>
        <w:ind w:left="432" w:hanging="216"/>
      </w:pPr>
      <w:r>
        <w:rPr>
          <w:rFonts w:ascii="Calibri" w:hAnsi="Calibri"/>
          <w:b w:val="0"/>
          <w:color w:val="000000"/>
          <w:sz w:val="19"/>
        </w:rPr>
        <w:t>Operated and maintained advanced analytical instrumentation including LC/MS confirmatory systems, Enzyme Immunoassay platforms (CEDIA, DRI, QMS, EIA), and DNA next-generation sequencing.</w:t>
      </w:r>
    </w:p>
    <w:p>
      <w:pPr>
        <w:pStyle w:val="ListBullet"/>
        <w:spacing w:before="20" w:after="20"/>
        <w:ind w:left="432" w:hanging="216"/>
      </w:pPr>
      <w:r>
        <w:rPr>
          <w:rFonts w:ascii="Calibri" w:hAnsi="Calibri"/>
          <w:b w:val="0"/>
          <w:color w:val="000000"/>
          <w:sz w:val="19"/>
        </w:rPr>
        <w:t>Improved laboratory workflow through rigorous documentation, OSHA protocol enforcement, and data processing software implementation.</w:t>
      </w:r>
    </w:p>
    <w:p>
      <w:pPr>
        <w:pStyle w:val="ListBullet"/>
        <w:spacing w:before="20" w:after="20"/>
        <w:ind w:left="432" w:hanging="216"/>
      </w:pPr>
      <w:r>
        <w:rPr>
          <w:rFonts w:ascii="Calibri" w:hAnsi="Calibri"/>
          <w:b w:val="0"/>
          <w:color w:val="000000"/>
          <w:sz w:val="19"/>
        </w:rPr>
        <w:t>Managed LIS bioinformatics system (Stratus DX) and updated patient EMR records (eClinicalWorks), ensuring accuracy and compliance.</w:t>
      </w:r>
    </w:p>
    <w:p>
      <w:pPr>
        <w:spacing w:before="120" w:after="20"/>
      </w:pPr>
      <w:r>
        <w:rPr>
          <w:rFonts w:ascii="Calibri" w:hAnsi="Calibri"/>
          <w:b/>
          <w:color w:val="000000"/>
          <w:sz w:val="20"/>
        </w:rPr>
        <w:t>Doctoral Research Assistant  |  Inspired Materials &amp; Stem Cell Tissue Engineering Lab (IMSTEL), UTEP</w:t>
      </w:r>
      <w:r>
        <w:rPr>
          <w:rFonts w:ascii="Calibri" w:hAnsi="Calibri"/>
          <w:b w:val="0"/>
          <w:color w:val="404040"/>
          <w:sz w:val="19"/>
        </w:rPr>
        <w:t xml:space="preserve">  |  El Paso, TX  |  2017 – 2020</w:t>
      </w:r>
    </w:p>
    <w:p>
      <w:pPr>
        <w:pStyle w:val="ListBullet"/>
        <w:spacing w:before="20" w:after="20"/>
        <w:ind w:left="432" w:hanging="216"/>
      </w:pPr>
      <w:r>
        <w:rPr>
          <w:rFonts w:ascii="Calibri" w:hAnsi="Calibri"/>
          <w:b w:val="0"/>
          <w:color w:val="000000"/>
          <w:sz w:val="19"/>
        </w:rPr>
        <w:t xml:space="preserve">Mentored and trained </w:t>
      </w:r>
      <w:r>
        <w:rPr>
          <w:rFonts w:ascii="Calibri" w:hAnsi="Calibri"/>
          <w:b/>
          <w:color w:val="000000"/>
          <w:sz w:val="19"/>
        </w:rPr>
        <w:t>30+ undergraduate students</w:t>
      </w:r>
      <w:r>
        <w:rPr>
          <w:rFonts w:ascii="Calibri" w:hAnsi="Calibri"/>
          <w:b w:val="0"/>
          <w:color w:val="000000"/>
          <w:sz w:val="19"/>
        </w:rPr>
        <w:t xml:space="preserve"> on electron microscopy and 3D bioprinting, developing structured onboarding curricula and hands-on training protocols.</w:t>
      </w:r>
    </w:p>
    <w:p>
      <w:pPr>
        <w:pStyle w:val="ListBullet"/>
        <w:spacing w:before="20" w:after="20"/>
        <w:ind w:left="432" w:hanging="216"/>
      </w:pPr>
      <w:r>
        <w:rPr>
          <w:rFonts w:ascii="Calibri" w:hAnsi="Calibri"/>
          <w:b w:val="0"/>
          <w:color w:val="000000"/>
          <w:sz w:val="19"/>
        </w:rPr>
        <w:t>Led multi-year R&amp;D project designing electrically conductive cardiovascular tissue composites for cell therapy applications, in collaboration with Rice University.</w:t>
      </w:r>
    </w:p>
    <w:p>
      <w:pPr>
        <w:pStyle w:val="ListBullet"/>
        <w:spacing w:before="20" w:after="20"/>
        <w:ind w:left="432" w:hanging="216"/>
      </w:pPr>
      <w:r>
        <w:rPr>
          <w:rFonts w:ascii="Calibri" w:hAnsi="Calibri"/>
          <w:b w:val="0"/>
          <w:color w:val="000000"/>
          <w:sz w:val="19"/>
        </w:rPr>
        <w:t xml:space="preserve">Managed cross-functional lab operations—coordinating equipment schedules, reagent procurement, SOPs, and data management across </w:t>
      </w:r>
      <w:r>
        <w:rPr>
          <w:rFonts w:ascii="Calibri" w:hAnsi="Calibri"/>
          <w:b/>
          <w:color w:val="000000"/>
          <w:sz w:val="19"/>
        </w:rPr>
        <w:t>5+ concurrent projects</w:t>
      </w:r>
      <w:r>
        <w:rPr>
          <w:rFonts w:ascii="Calibri" w:hAnsi="Calibri"/>
          <w:b w:val="0"/>
          <w:color w:val="000000"/>
          <w:sz w:val="19"/>
        </w:rPr>
        <w:t>.</w:t>
      </w:r>
    </w:p>
    <w:p>
      <w:pPr>
        <w:pStyle w:val="ListBullet"/>
        <w:spacing w:before="20" w:after="20"/>
        <w:ind w:left="432" w:hanging="216"/>
      </w:pPr>
      <w:r>
        <w:rPr>
          <w:rFonts w:ascii="Calibri" w:hAnsi="Calibri"/>
          <w:b w:val="0"/>
          <w:color w:val="000000"/>
          <w:sz w:val="19"/>
        </w:rPr>
        <w:t xml:space="preserve">Achieved </w:t>
      </w:r>
      <w:r>
        <w:rPr>
          <w:rFonts w:ascii="Calibri" w:hAnsi="Calibri"/>
          <w:b/>
          <w:color w:val="000000"/>
          <w:sz w:val="19"/>
        </w:rPr>
        <w:t>30% improvement</w:t>
      </w:r>
      <w:r>
        <w:rPr>
          <w:rFonts w:ascii="Calibri" w:hAnsi="Calibri"/>
          <w:b w:val="0"/>
          <w:color w:val="000000"/>
          <w:sz w:val="19"/>
        </w:rPr>
        <w:t xml:space="preserve"> in 3D printer manufacturing precision through hardware modifications; delivered materials projects for the US Air Force and America Makes.</w:t>
      </w:r>
    </w:p>
    <w:p>
      <w:pPr>
        <w:spacing w:before="120" w:after="20"/>
      </w:pPr>
      <w:r>
        <w:rPr>
          <w:rFonts w:ascii="Calibri" w:hAnsi="Calibri"/>
          <w:b/>
          <w:color w:val="000000"/>
          <w:sz w:val="20"/>
        </w:rPr>
        <w:t>Chief Scientific Officer &amp; Co-Founder  |  Biosvelte (Biotech Startup)</w:t>
      </w:r>
      <w:r>
        <w:rPr>
          <w:rFonts w:ascii="Calibri" w:hAnsi="Calibri"/>
          <w:b w:val="0"/>
          <w:color w:val="404040"/>
          <w:sz w:val="19"/>
        </w:rPr>
        <w:t xml:space="preserve">  |  El Paso, TX  |  2018 – 2020</w:t>
      </w:r>
    </w:p>
    <w:p>
      <w:pPr>
        <w:pStyle w:val="ListBullet"/>
        <w:spacing w:before="20" w:after="20"/>
        <w:ind w:left="432" w:hanging="216"/>
      </w:pPr>
      <w:r>
        <w:rPr>
          <w:rFonts w:ascii="Calibri" w:hAnsi="Calibri"/>
          <w:b w:val="0"/>
          <w:color w:val="000000"/>
          <w:sz w:val="19"/>
        </w:rPr>
        <w:t xml:space="preserve">Co-founded and scaled biotech venture; managed team of </w:t>
      </w:r>
      <w:r>
        <w:rPr>
          <w:rFonts w:ascii="Calibri" w:hAnsi="Calibri"/>
          <w:b/>
          <w:color w:val="000000"/>
          <w:sz w:val="19"/>
        </w:rPr>
        <w:t>10</w:t>
      </w:r>
      <w:r>
        <w:rPr>
          <w:rFonts w:ascii="Calibri" w:hAnsi="Calibri"/>
          <w:b w:val="0"/>
          <w:color w:val="000000"/>
          <w:sz w:val="19"/>
        </w:rPr>
        <w:t xml:space="preserve"> overseeing product development, QC, and distribution of evidence-based health supplement line.</w:t>
      </w:r>
    </w:p>
    <w:p>
      <w:pPr>
        <w:pStyle w:val="ListBullet"/>
        <w:spacing w:before="20" w:after="20"/>
        <w:ind w:left="432" w:hanging="216"/>
      </w:pPr>
      <w:r>
        <w:rPr>
          <w:rFonts w:ascii="Calibri" w:hAnsi="Calibri"/>
          <w:b w:val="0"/>
          <w:color w:val="000000"/>
          <w:sz w:val="19"/>
        </w:rPr>
        <w:t>Applied data mining and analytics to optimize marketing strategy and supply chain operations.</w:t>
      </w:r>
    </w:p>
    <w:p>
      <w:pPr>
        <w:spacing w:before="160" w:after="20"/>
      </w:pPr>
      <w:r>
        <w:rPr>
          <w:rFonts w:ascii="Calibri" w:hAnsi="Calibri"/>
          <w:b/>
          <w:color w:val="1F4E79"/>
          <w:sz w:val="19"/>
        </w:rPr>
        <w:t>EDUCATION</w:t>
      </w:r>
    </w:p>
    <w:p>
      <w:pPr>
        <w:spacing w:before="0" w:after="40"/>
        <w:pBdr>
          <w:bottom w:val="single" w:sz="8" w:space="1" w:color="1F4E79"/>
        </w:pBdr>
      </w:pPr>
    </w:p>
    <w:p>
      <w:pPr>
        <w:spacing w:before="60" w:after="20"/>
      </w:pPr>
      <w:r>
        <w:rPr>
          <w:rFonts w:ascii="Calibri" w:hAnsi="Calibri"/>
          <w:b/>
          <w:color w:val="000000"/>
          <w:sz w:val="19"/>
        </w:rPr>
        <w:t>Ph.D. in Biomedical Materials Science &amp; Engineering</w:t>
      </w:r>
      <w:r>
        <w:rPr>
          <w:rFonts w:ascii="Calibri" w:hAnsi="Calibri"/>
          <w:b w:val="0"/>
          <w:color w:val="404040"/>
          <w:sz w:val="19"/>
        </w:rPr>
        <w:t xml:space="preserve">  |  The University of Texas at El Paso  |  2016 – 2020</w:t>
      </w:r>
    </w:p>
    <w:p>
      <w:pPr>
        <w:spacing w:before="40" w:after="20"/>
      </w:pPr>
      <w:r>
        <w:rPr>
          <w:rFonts w:ascii="Calibri" w:hAnsi="Calibri"/>
          <w:b/>
          <w:color w:val="000000"/>
          <w:sz w:val="19"/>
        </w:rPr>
        <w:t>B.S. in Materials Engineering</w:t>
      </w:r>
      <w:r>
        <w:rPr>
          <w:rFonts w:ascii="Calibri" w:hAnsi="Calibri"/>
          <w:b w:val="0"/>
          <w:color w:val="404040"/>
          <w:sz w:val="19"/>
        </w:rPr>
        <w:t xml:space="preserve">  |  The University of Texas at El Paso  |  2010 – 2015</w:t>
      </w:r>
    </w:p>
    <w:p>
      <w:pPr>
        <w:spacing w:before="160" w:after="20"/>
      </w:pPr>
      <w:r>
        <w:rPr>
          <w:rFonts w:ascii="Calibri" w:hAnsi="Calibri"/>
          <w:b/>
          <w:color w:val="1F4E79"/>
          <w:sz w:val="19"/>
        </w:rPr>
        <w:t>PUBLICATIONS &amp; PROFESSIONAL HONORS</w:t>
      </w:r>
    </w:p>
    <w:p>
      <w:pPr>
        <w:spacing w:before="0" w:after="40"/>
        <w:pBdr>
          <w:bottom w:val="single" w:sz="8" w:space="1" w:color="1F4E79"/>
        </w:pBdr>
      </w:pPr>
    </w:p>
    <w:p>
      <w:pPr>
        <w:spacing w:before="60" w:after="40"/>
      </w:pPr>
      <w:r>
        <w:rPr>
          <w:rFonts w:ascii="Calibri" w:hAnsi="Calibri"/>
          <w:b/>
          <w:color w:val="000000"/>
          <w:sz w:val="19"/>
        </w:rPr>
        <w:t>8</w:t>
      </w:r>
      <w:r>
        <w:rPr>
          <w:rFonts w:ascii="Calibri" w:hAnsi="Calibri"/>
          <w:b w:val="0"/>
          <w:color w:val="000000"/>
          <w:sz w:val="19"/>
        </w:rPr>
        <w:t xml:space="preserve"> peer-reviewed publications in biomaterials, tissue engineering, and neuropsychiatry (available upon request).</w:t>
      </w:r>
    </w:p>
    <w:p>
      <w:pPr>
        <w:spacing w:before="20" w:after="40"/>
      </w:pPr>
      <w:r>
        <w:rPr>
          <w:rFonts w:ascii="Calibri" w:hAnsi="Calibri"/>
          <w:b w:val="0"/>
          <w:color w:val="404040"/>
          <w:sz w:val="19"/>
        </w:rPr>
        <w:t>Tau Beta Pi Engineering Honor Society  |  Alpha Chi National Honor Society  |  Alpha Sigma Mu Materials Honor Society  |  Society for Biomaterials (President, 2 terms)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