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sz w:val="36"/>
        </w:rPr>
        <w:t>ABC Holdings Pty Ltd</w:t>
      </w:r>
    </w:p>
    <w:p>
      <w:pPr>
        <w:jc w:val="center"/>
      </w:pPr>
      <w:r>
        <w:rPr>
          <w:rFonts w:ascii="Arial" w:hAnsi="Arial"/>
          <w:b w:val="0"/>
          <w:sz w:val="24"/>
        </w:rPr>
        <w:t>ABN 12345678901</w:t>
      </w:r>
    </w:p>
    <w:p>
      <w:pPr>
        <w:jc w:val="center"/>
      </w:pPr>
      <w:r>
        <w:rPr>
          <w:rFonts w:ascii="Arial" w:hAnsi="Arial"/>
          <w:b/>
          <w:sz w:val="28"/>
        </w:rPr>
        <w:t>Financial Statements</w:t>
      </w:r>
    </w:p>
    <w:p>
      <w:pPr>
        <w:jc w:val="center"/>
      </w:pPr>
      <w:r>
        <w:rPr>
          <w:rFonts w:ascii="Arial" w:hAnsi="Arial"/>
          <w:b w:val="0"/>
          <w:sz w:val="24"/>
        </w:rPr>
        <w:t>For the year ended 30 June 2025</w:t>
      </w:r>
    </w:p>
    <w:p>
      <w:pPr>
        <w:jc w:val="center"/>
      </w:pPr>
      <w:r>
        <w:rPr>
          <w:rFonts w:ascii="Arial" w:hAnsi="Arial"/>
          <w:b/>
          <w:sz w:val="20"/>
        </w:rPr>
        <w:t>M C &amp; S Pty Ltd</w:t>
      </w:r>
    </w:p>
    <w:p>
      <w:pPr>
        <w:jc w:val="center"/>
      </w:pPr>
      <w:r>
        <w:rPr>
          <w:rFonts w:ascii="Arial" w:hAnsi="Arial"/>
          <w:b w:val="0"/>
          <w:sz w:val="18"/>
        </w:rPr>
        <w:t>PO Box 4440</w:t>
      </w:r>
    </w:p>
    <w:p>
      <w:pPr>
        <w:jc w:val="center"/>
      </w:pPr>
      <w:r>
        <w:rPr>
          <w:rFonts w:ascii="Arial" w:hAnsi="Arial"/>
          <w:b w:val="0"/>
          <w:sz w:val="18"/>
        </w:rPr>
        <w:t>Dandenong South VIC 3164</w:t>
      </w:r>
    </w:p>
    <w:p>
      <w:pPr>
        <w:jc w:val="center"/>
      </w:pPr>
      <w:r>
        <w:rPr>
          <w:rFonts w:ascii="Arial" w:hAnsi="Arial"/>
          <w:b w:val="0"/>
          <w:sz w:val="18"/>
        </w:rPr>
        <w:t>Phone: (03) 9794 8012</w:t>
      </w:r>
    </w:p>
    <w:p>
      <w:pPr>
        <w:jc w:val="center"/>
      </w:pPr>
      <w:r>
        <w:rPr>
          <w:rFonts w:ascii="Arial" w:hAnsi="Arial"/>
          <w:b w:val="0"/>
          <w:sz w:val="18"/>
        </w:rPr>
        <w:t>Email: admin@mcsaccountants.com.au</w:t>
      </w:r>
    </w:p>
    <w:p>
      <w:r>
        <w:br w:type="page"/>
      </w:r>
    </w:p>
    <w:p>
      <w:pPr>
        <w:jc w:val="center"/>
      </w:pPr>
      <w:r>
        <w:rPr>
          <w:rFonts w:ascii="Arial" w:hAnsi="Arial"/>
          <w:b/>
          <w:sz w:val="28"/>
        </w:rPr>
        <w:t>ABC Holdings Pty Ltd</w:t>
      </w:r>
    </w:p>
    <w:p>
      <w:pPr>
        <w:jc w:val="center"/>
      </w:pPr>
      <w:r>
        <w:rPr>
          <w:rFonts w:ascii="Arial" w:hAnsi="Arial"/>
          <w:b w:val="0"/>
          <w:sz w:val="20"/>
        </w:rPr>
        <w:t>ABN 12345678901</w:t>
      </w:r>
    </w:p>
    <w:p>
      <w:pPr>
        <w:jc w:val="center"/>
      </w:pPr>
      <w:r>
        <w:rPr>
          <w:rFonts w:ascii="Arial" w:hAnsi="Arial"/>
          <w:b/>
          <w:sz w:val="28"/>
        </w:rPr>
        <w:t>Contents</w:t>
      </w:r>
    </w:p>
    <w:p>
      <w:pPr>
        <w:jc w:val="left"/>
      </w:pPr>
      <w:r>
        <w:rPr>
          <w:rFonts w:ascii="Arial" w:hAnsi="Arial"/>
          <w:b w:val="0"/>
          <w:sz w:val="22"/>
        </w:rPr>
        <w:t>1.  Compilation Report</w:t>
      </w:r>
    </w:p>
    <w:p>
      <w:pPr>
        <w:jc w:val="left"/>
      </w:pPr>
      <w:r>
        <w:rPr>
          <w:rFonts w:ascii="Arial" w:hAnsi="Arial"/>
          <w:b w:val="0"/>
          <w:sz w:val="22"/>
        </w:rPr>
        <w:t>2.  Trading Account</w:t>
      </w:r>
    </w:p>
    <w:p>
      <w:pPr>
        <w:jc w:val="left"/>
      </w:pPr>
      <w:r>
        <w:rPr>
          <w:rFonts w:ascii="Arial" w:hAnsi="Arial"/>
          <w:b w:val="0"/>
          <w:sz w:val="22"/>
        </w:rPr>
        <w:t>3.  Detailed Profit and Loss Statement</w:t>
      </w:r>
    </w:p>
    <w:p>
      <w:pPr>
        <w:jc w:val="left"/>
      </w:pPr>
      <w:r>
        <w:rPr>
          <w:rFonts w:ascii="Arial" w:hAnsi="Arial"/>
          <w:b w:val="0"/>
          <w:sz w:val="22"/>
        </w:rPr>
        <w:t>4.  Detailed Balance Sheet</w:t>
      </w:r>
    </w:p>
    <w:p>
      <w:pPr>
        <w:jc w:val="left"/>
      </w:pPr>
      <w:r>
        <w:rPr>
          <w:rFonts w:ascii="Arial" w:hAnsi="Arial"/>
          <w:b w:val="0"/>
          <w:sz w:val="22"/>
        </w:rPr>
        <w:t>5.  Profit and Loss Statement</w:t>
      </w:r>
    </w:p>
    <w:p>
      <w:pPr>
        <w:jc w:val="left"/>
      </w:pPr>
      <w:r>
        <w:rPr>
          <w:rFonts w:ascii="Arial" w:hAnsi="Arial"/>
          <w:b w:val="0"/>
          <w:sz w:val="22"/>
        </w:rPr>
        <w:t>6.  Notes to the Financial Statements</w:t>
      </w:r>
    </w:p>
    <w:p>
      <w:pPr>
        <w:jc w:val="left"/>
      </w:pPr>
      <w:r>
        <w:rPr>
          <w:rFonts w:ascii="Arial" w:hAnsi="Arial"/>
          <w:b w:val="0"/>
          <w:sz w:val="22"/>
        </w:rPr>
        <w:t>7.  Director's Declaration</w:t>
      </w:r>
    </w:p>
    <w:p>
      <w:r>
        <w:br w:type="page"/>
      </w:r>
    </w:p>
    <w:p>
      <w:pPr>
        <w:jc w:val="center"/>
      </w:pPr>
      <w:r>
        <w:rPr>
          <w:rFonts w:ascii="Arial" w:hAnsi="Arial"/>
          <w:b/>
          <w:sz w:val="28"/>
        </w:rPr>
        <w:t>ABC Holdings Pty Ltd</w:t>
      </w:r>
    </w:p>
    <w:p>
      <w:pPr>
        <w:jc w:val="center"/>
      </w:pPr>
      <w:r>
        <w:rPr>
          <w:rFonts w:ascii="Arial" w:hAnsi="Arial"/>
          <w:b w:val="0"/>
          <w:sz w:val="20"/>
        </w:rPr>
        <w:t>ABN 12345678901</w:t>
      </w:r>
    </w:p>
    <w:p>
      <w:pPr>
        <w:jc w:val="center"/>
      </w:pPr>
      <w:r>
        <w:rPr>
          <w:rFonts w:ascii="Arial" w:hAnsi="Arial"/>
          <w:b/>
          <w:sz w:val="24"/>
        </w:rPr>
        <w:t>Compilation Report to ABC Holdings Pty Ltd</w:t>
      </w:r>
    </w:p>
    <w:p>
      <w:pPr>
        <w:jc w:val="left"/>
      </w:pPr>
      <w:r>
        <w:rPr>
          <w:rFonts w:ascii="Arial" w:hAnsi="Arial"/>
          <w:b/>
          <w:sz w:val="20"/>
        </w:rPr>
        <w:t>The Responsibility of the Director</w:t>
      </w:r>
    </w:p>
    <w:p>
      <w:pPr>
        <w:jc w:val="left"/>
      </w:pPr>
      <w:r>
        <w:rPr>
          <w:rFonts w:ascii="Arial" w:hAnsi="Arial"/>
          <w:b w:val="0"/>
          <w:sz w:val="18"/>
        </w:rPr>
        <w:t>The director of ABC Holdings Pty Ltd is solely responsible for the information contained in the special purpose financial statements and has determined that the accounting policies used are consistent and are appropriate to satisfy the requirements of the director.</w:t>
      </w:r>
    </w:p>
    <w:p>
      <w:pPr>
        <w:jc w:val="left"/>
      </w:pPr>
      <w:r>
        <w:rPr>
          <w:rFonts w:ascii="Arial" w:hAnsi="Arial"/>
          <w:b/>
          <w:sz w:val="20"/>
        </w:rPr>
        <w:t>Our Responsibility</w:t>
      </w:r>
    </w:p>
    <w:p>
      <w:pPr>
        <w:jc w:val="left"/>
      </w:pPr>
      <w:r>
        <w:rPr>
          <w:rFonts w:ascii="Arial" w:hAnsi="Arial"/>
          <w:b w:val="0"/>
          <w:sz w:val="18"/>
        </w:rPr>
        <w:t>On the basis of the information provided by the director, we have compiled the accompanying special purpose financial statements of ABC Holdings Pty Ltd for the year ended 30 June 2025 in accordance with APES 315 Compilation of Financial Information.</w:t>
      </w:r>
    </w:p>
    <w:p>
      <w:pPr>
        <w:jc w:val="left"/>
      </w:pPr>
      <w:r>
        <w:rPr>
          <w:rFonts w:ascii="Arial" w:hAnsi="Arial"/>
          <w:b w:val="0"/>
          <w:sz w:val="18"/>
        </w:rPr>
        <w:t>We have applied our expertise in accounting and financial reporting to compile these financial statements in accordance with the basis of accounting described in Note 1 to the financial statements. We have complied with the relevant ethical requirements of APES 110 Code of Ethics for Professional Accountants (including Independence Standards).</w:t>
      </w:r>
    </w:p>
    <w:p>
      <w:pPr>
        <w:jc w:val="left"/>
      </w:pPr>
      <w:r>
        <w:rPr>
          <w:rFonts w:ascii="Arial" w:hAnsi="Arial"/>
          <w:b/>
          <w:sz w:val="20"/>
        </w:rPr>
        <w:t>Assurance Disclaimer</w:t>
      </w:r>
    </w:p>
    <w:p>
      <w:pPr>
        <w:jc w:val="left"/>
      </w:pPr>
      <w:r>
        <w:rPr>
          <w:rFonts w:ascii="Arial" w:hAnsi="Arial"/>
          <w:b w:val="0"/>
          <w:sz w:val="18"/>
        </w:rPr>
        <w:t>Since a compilation engagement is not an assurance engagement, we are not required to verify the reliability, accuracy or completeness of the information provided to us by the director to compile these financial statements. Accordingly, we do not express an audit opinion or a review conclusion on these financial statements.</w:t>
      </w:r>
    </w:p>
    <w:p>
      <w:pPr>
        <w:jc w:val="left"/>
      </w:pPr>
      <w:r>
        <w:rPr>
          <w:rFonts w:ascii="Arial" w:hAnsi="Arial"/>
          <w:b w:val="0"/>
          <w:sz w:val="18"/>
        </w:rPr>
        <w:t>The special purpose financial statements were compiled exclusively for the benefit of the director who is responsible for the reliability, accuracy and completeness of the information compiled therein. We do not accept responsibility for the contents of the special purpose financial statements.</w:t>
      </w:r>
    </w:p>
    <w:p>
      <w:pPr>
        <w:jc w:val="left"/>
      </w:pPr>
      <w:r>
        <w:rPr>
          <w:rFonts w:ascii="Arial" w:hAnsi="Arial"/>
          <w:b/>
          <w:sz w:val="20"/>
        </w:rPr>
        <w:t>M C &amp; S Pty Ltd</w:t>
      </w:r>
    </w:p>
    <w:p>
      <w:pPr>
        <w:jc w:val="left"/>
      </w:pPr>
      <w:r>
        <w:rPr>
          <w:rFonts w:ascii="Arial" w:hAnsi="Arial"/>
          <w:b w:val="0"/>
          <w:sz w:val="18"/>
        </w:rPr>
        <w:t>PO Box 4440</w:t>
      </w:r>
    </w:p>
    <w:p>
      <w:pPr>
        <w:jc w:val="left"/>
      </w:pPr>
      <w:r>
        <w:rPr>
          <w:rFonts w:ascii="Arial" w:hAnsi="Arial"/>
          <w:b w:val="0"/>
          <w:sz w:val="18"/>
        </w:rPr>
        <w:t>Dandenong South VIC 3164</w:t>
      </w:r>
    </w:p>
    <w:p>
      <w:pPr>
        <w:jc w:val="left"/>
      </w:pPr>
      <w:r>
        <w:rPr>
          <w:rFonts w:ascii="Arial" w:hAnsi="Arial"/>
          <w:b w:val="0"/>
          <w:sz w:val="18"/>
        </w:rPr>
        <w:t>Dated: 16 February 2026</w:t>
      </w:r>
    </w:p>
    <w:p>
      <w:r>
        <w:br w:type="page"/>
      </w:r>
    </w:p>
    <w:p>
      <w:pPr>
        <w:jc w:val="center"/>
      </w:pPr>
      <w:r>
        <w:rPr>
          <w:rFonts w:ascii="Arial" w:hAnsi="Arial"/>
          <w:b/>
          <w:sz w:val="28"/>
        </w:rPr>
        <w:t>ABC Holdings Pty Ltd</w:t>
      </w:r>
    </w:p>
    <w:p>
      <w:pPr>
        <w:jc w:val="center"/>
      </w:pPr>
      <w:r>
        <w:rPr>
          <w:rFonts w:ascii="Arial" w:hAnsi="Arial"/>
          <w:b w:val="0"/>
          <w:sz w:val="20"/>
        </w:rPr>
        <w:t>ABN 12345678901</w:t>
      </w:r>
    </w:p>
    <w:p>
      <w:pPr>
        <w:jc w:val="center"/>
      </w:pPr>
      <w:r>
        <w:rPr>
          <w:rFonts w:ascii="Arial" w:hAnsi="Arial"/>
          <w:b/>
          <w:sz w:val="24"/>
        </w:rPr>
        <w:t>Detailed Profit and Loss Statement</w:t>
      </w:r>
    </w:p>
    <w:p>
      <w:pPr>
        <w:jc w:val="center"/>
      </w:pPr>
      <w:r>
        <w:rPr>
          <w:rFonts w:ascii="Arial" w:hAnsi="Arial"/>
          <w:b w:val="0"/>
          <w:sz w:val="20"/>
        </w:rPr>
        <w:t>For the year ended 30 June 2025</w:t>
      </w:r>
    </w:p>
    <w:tbl>
      <w:tblPr>
        <w:tblW w:type="auto" w:w="0"/>
        <w:jc w:val="center"/>
        <w:tblLayout w:type="autofit"/>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18"/>
              </w:rPr>
            </w:r>
          </w:p>
        </w:tc>
        <w:tc>
          <w:tcPr>
            <w:tcW w:type="dxa" w:w="3135"/>
          </w:tcPr>
          <w:p>
            <w:pPr>
              <w:jc w:val="center"/>
            </w:pPr>
            <w:r/>
            <w:r>
              <w:rPr>
                <w:rFonts w:ascii="Arial" w:hAnsi="Arial"/>
                <w:b/>
                <w:sz w:val="18"/>
              </w:rPr>
              <w:t>2025</w:t>
              <w:br/>
              <w:t>$</w:t>
            </w:r>
          </w:p>
        </w:tc>
        <w:tc>
          <w:tcPr>
            <w:tcW w:type="dxa" w:w="3135"/>
          </w:tcPr>
          <w:p>
            <w:pPr>
              <w:jc w:val="center"/>
            </w:pPr>
            <w:r/>
            <w:r>
              <w:rPr>
                <w:rFonts w:ascii="Arial" w:hAnsi="Arial"/>
                <w:b/>
                <w:sz w:val="18"/>
              </w:rPr>
              <w:t>2024</w:t>
              <w:br/>
              <w:t>$</w:t>
            </w:r>
          </w:p>
        </w:tc>
      </w:tr>
      <w:tr>
        <w:tc>
          <w:tcPr>
            <w:tcW w:type="dxa" w:w="3135"/>
          </w:tcPr>
          <w:p>
            <w:pPr>
              <w:jc w:val="left"/>
            </w:pPr>
            <w:r/>
            <w:r>
              <w:rPr>
                <w:rFonts w:ascii="Arial" w:hAnsi="Arial"/>
                <w:b/>
                <w:sz w:val="18"/>
              </w:rPr>
              <w:t>Income</w:t>
            </w:r>
          </w:p>
        </w:tc>
        <w:tc>
          <w:tcPr>
            <w:tcW w:type="dxa" w:w="3135"/>
          </w:tcPr>
          <w:p>
            <w:pPr>
              <w:jc w:val="right"/>
            </w:pPr>
            <w:r/>
            <w:r>
              <w:rPr>
                <w:rFonts w:ascii="Arial" w:hAnsi="Arial"/>
                <w:b/>
                <w:sz w:val="18"/>
              </w:rPr>
            </w:r>
          </w:p>
        </w:tc>
        <w:tc>
          <w:tcPr>
            <w:tcW w:type="dxa" w:w="3135"/>
          </w:tcPr>
          <w:p>
            <w:pPr>
              <w:jc w:val="right"/>
            </w:pPr>
            <w:r/>
            <w:r>
              <w:rPr>
                <w:rFonts w:ascii="Arial" w:hAnsi="Arial"/>
                <w:b/>
                <w:sz w:val="18"/>
              </w:rPr>
            </w:r>
          </w:p>
        </w:tc>
      </w:tr>
      <w:tr>
        <w:tc>
          <w:tcPr>
            <w:tcW w:type="dxa" w:w="3135"/>
          </w:tcPr>
          <w:p>
            <w:pPr>
              <w:jc w:val="left"/>
            </w:pPr>
            <w:r/>
            <w:r>
              <w:rPr>
                <w:rFonts w:ascii="Arial" w:hAnsi="Arial"/>
                <w:b w:val="0"/>
                <w:sz w:val="18"/>
              </w:rPr>
              <w:t xml:space="preserve">  Sales Revenue</w:t>
            </w:r>
          </w:p>
        </w:tc>
        <w:tc>
          <w:tcPr>
            <w:tcW w:type="dxa" w:w="3135"/>
          </w:tcPr>
          <w:p>
            <w:pPr>
              <w:jc w:val="right"/>
            </w:pPr>
            <w:r/>
            <w:r>
              <w:rPr>
                <w:rFonts w:ascii="Arial" w:hAnsi="Arial"/>
                <w:b w:val="0"/>
                <w:sz w:val="18"/>
              </w:rPr>
              <w:t>250,000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Interest Received</w:t>
            </w:r>
          </w:p>
        </w:tc>
        <w:tc>
          <w:tcPr>
            <w:tcW w:type="dxa" w:w="3135"/>
          </w:tcPr>
          <w:p>
            <w:pPr>
              <w:jc w:val="right"/>
            </w:pPr>
            <w:r/>
            <w:r>
              <w:rPr>
                <w:rFonts w:ascii="Arial" w:hAnsi="Arial"/>
                <w:b w:val="0"/>
                <w:sz w:val="18"/>
              </w:rPr>
              <w:t>1,500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Other Income</w:t>
            </w:r>
          </w:p>
        </w:tc>
        <w:tc>
          <w:tcPr>
            <w:tcW w:type="dxa" w:w="3135"/>
          </w:tcPr>
          <w:p>
            <w:pPr>
              <w:jc w:val="right"/>
            </w:pPr>
            <w:r/>
            <w:r>
              <w:rPr>
                <w:rFonts w:ascii="Arial" w:hAnsi="Arial"/>
                <w:b w:val="0"/>
                <w:sz w:val="18"/>
              </w:rPr>
              <w:t>5,000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sz w:val="18"/>
              </w:rPr>
              <w:t>Total Income</w:t>
            </w:r>
          </w:p>
        </w:tc>
        <w:tc>
          <w:tcPr>
            <w:tcW w:type="dxa" w:w="3135"/>
          </w:tcPr>
          <w:p>
            <w:pPr>
              <w:jc w:val="right"/>
            </w:pPr>
            <w:r/>
            <w:r>
              <w:rPr>
                <w:rFonts w:ascii="Arial" w:hAnsi="Arial"/>
                <w:b/>
                <w:sz w:val="18"/>
              </w:rPr>
              <w:t>256,500</w:t>
            </w:r>
          </w:p>
        </w:tc>
        <w:tc>
          <w:tcPr>
            <w:tcW w:type="dxa" w:w="3135"/>
          </w:tcPr>
          <w:p>
            <w:pPr>
              <w:jc w:val="right"/>
            </w:pPr>
            <w:r/>
            <w:r>
              <w:rPr>
                <w:rFonts w:ascii="Arial" w:hAnsi="Arial"/>
                <w:b/>
                <w:sz w:val="18"/>
              </w:rPr>
              <w:t>-</w:t>
            </w:r>
          </w:p>
        </w:tc>
      </w:tr>
      <w:tr>
        <w:tc>
          <w:tcPr>
            <w:tcW w:type="dxa" w:w="3135"/>
          </w:tcPr>
          <w:p>
            <w:pPr>
              <w:jc w:val="left"/>
            </w:pPr>
            <w:r/>
            <w:r>
              <w:rPr>
                <w:rFonts w:ascii="Arial" w:hAnsi="Arial"/>
                <w:b w:val="0"/>
                <w:sz w:val="18"/>
              </w:rPr>
            </w:r>
          </w:p>
        </w:tc>
        <w:tc>
          <w:tcPr>
            <w:tcW w:type="dxa" w:w="3135"/>
          </w:tcPr>
          <w:p>
            <w:pPr>
              <w:jc w:val="right"/>
            </w:pPr>
            <w:r/>
            <w:r>
              <w:rPr>
                <w:rFonts w:ascii="Arial" w:hAnsi="Arial"/>
                <w:b w:val="0"/>
                <w:sz w:val="18"/>
              </w:rPr>
            </w:r>
          </w:p>
        </w:tc>
        <w:tc>
          <w:tcPr>
            <w:tcW w:type="dxa" w:w="3135"/>
          </w:tcPr>
          <w:p>
            <w:pPr>
              <w:jc w:val="right"/>
            </w:pPr>
            <w:r/>
            <w:r>
              <w:rPr>
                <w:rFonts w:ascii="Arial" w:hAnsi="Arial"/>
                <w:b w:val="0"/>
                <w:sz w:val="18"/>
              </w:rPr>
            </w:r>
          </w:p>
        </w:tc>
      </w:tr>
      <w:tr>
        <w:tc>
          <w:tcPr>
            <w:tcW w:type="dxa" w:w="3135"/>
          </w:tcPr>
          <w:p>
            <w:pPr>
              <w:jc w:val="left"/>
            </w:pPr>
            <w:r/>
            <w:r>
              <w:rPr>
                <w:rFonts w:ascii="Arial" w:hAnsi="Arial"/>
                <w:b/>
                <w:sz w:val="18"/>
              </w:rPr>
              <w:t>Expenses</w:t>
            </w:r>
          </w:p>
        </w:tc>
        <w:tc>
          <w:tcPr>
            <w:tcW w:type="dxa" w:w="3135"/>
          </w:tcPr>
          <w:p>
            <w:pPr>
              <w:jc w:val="right"/>
            </w:pPr>
            <w:r/>
            <w:r>
              <w:rPr>
                <w:rFonts w:ascii="Arial" w:hAnsi="Arial"/>
                <w:b/>
                <w:sz w:val="18"/>
              </w:rPr>
            </w:r>
          </w:p>
        </w:tc>
        <w:tc>
          <w:tcPr>
            <w:tcW w:type="dxa" w:w="3135"/>
          </w:tcPr>
          <w:p>
            <w:pPr>
              <w:jc w:val="right"/>
            </w:pPr>
            <w:r/>
            <w:r>
              <w:rPr>
                <w:rFonts w:ascii="Arial" w:hAnsi="Arial"/>
                <w:b/>
                <w:sz w:val="18"/>
              </w:rPr>
            </w:r>
          </w:p>
        </w:tc>
      </w:tr>
      <w:tr>
        <w:tc>
          <w:tcPr>
            <w:tcW w:type="dxa" w:w="3135"/>
          </w:tcPr>
          <w:p>
            <w:pPr>
              <w:jc w:val="left"/>
            </w:pPr>
            <w:r/>
            <w:r>
              <w:rPr>
                <w:rFonts w:ascii="Arial" w:hAnsi="Arial"/>
                <w:b w:val="0"/>
                <w:sz w:val="18"/>
              </w:rPr>
              <w:t xml:space="preserve">  Accountancy Fees</w:t>
            </w:r>
          </w:p>
        </w:tc>
        <w:tc>
          <w:tcPr>
            <w:tcW w:type="dxa" w:w="3135"/>
          </w:tcPr>
          <w:p>
            <w:pPr>
              <w:jc w:val="right"/>
            </w:pPr>
            <w:r/>
            <w:r>
              <w:rPr>
                <w:rFonts w:ascii="Arial" w:hAnsi="Arial"/>
                <w:b w:val="0"/>
                <w:sz w:val="18"/>
              </w:rPr>
              <w:t>8,500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Advertising</w:t>
            </w:r>
          </w:p>
        </w:tc>
        <w:tc>
          <w:tcPr>
            <w:tcW w:type="dxa" w:w="3135"/>
          </w:tcPr>
          <w:p>
            <w:pPr>
              <w:jc w:val="right"/>
            </w:pPr>
            <w:r/>
            <w:r>
              <w:rPr>
                <w:rFonts w:ascii="Arial" w:hAnsi="Arial"/>
                <w:b w:val="0"/>
                <w:sz w:val="18"/>
              </w:rPr>
              <w:t>3,200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Bank Charges</w:t>
            </w:r>
          </w:p>
        </w:tc>
        <w:tc>
          <w:tcPr>
            <w:tcW w:type="dxa" w:w="3135"/>
          </w:tcPr>
          <w:p>
            <w:pPr>
              <w:jc w:val="right"/>
            </w:pPr>
            <w:r/>
            <w:r>
              <w:rPr>
                <w:rFonts w:ascii="Arial" w:hAnsi="Arial"/>
                <w:b w:val="0"/>
                <w:sz w:val="18"/>
              </w:rPr>
              <w:t>450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Depreciation</w:t>
            </w:r>
          </w:p>
        </w:tc>
        <w:tc>
          <w:tcPr>
            <w:tcW w:type="dxa" w:w="3135"/>
          </w:tcPr>
          <w:p>
            <w:pPr>
              <w:jc w:val="right"/>
            </w:pPr>
            <w:r/>
            <w:r>
              <w:rPr>
                <w:rFonts w:ascii="Arial" w:hAnsi="Arial"/>
                <w:b w:val="0"/>
                <w:sz w:val="18"/>
              </w:rPr>
              <w:t>12,000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Insurance</w:t>
            </w:r>
          </w:p>
        </w:tc>
        <w:tc>
          <w:tcPr>
            <w:tcW w:type="dxa" w:w="3135"/>
          </w:tcPr>
          <w:p>
            <w:pPr>
              <w:jc w:val="right"/>
            </w:pPr>
            <w:r/>
            <w:r>
              <w:rPr>
                <w:rFonts w:ascii="Arial" w:hAnsi="Arial"/>
                <w:b w:val="0"/>
                <w:sz w:val="18"/>
              </w:rPr>
              <w:t>6,800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Motor Vehicle Expenses</w:t>
            </w:r>
          </w:p>
        </w:tc>
        <w:tc>
          <w:tcPr>
            <w:tcW w:type="dxa" w:w="3135"/>
          </w:tcPr>
          <w:p>
            <w:pPr>
              <w:jc w:val="right"/>
            </w:pPr>
            <w:r/>
            <w:r>
              <w:rPr>
                <w:rFonts w:ascii="Arial" w:hAnsi="Arial"/>
                <w:b w:val="0"/>
                <w:sz w:val="18"/>
              </w:rPr>
              <w:t>4,500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Rent</w:t>
            </w:r>
          </w:p>
        </w:tc>
        <w:tc>
          <w:tcPr>
            <w:tcW w:type="dxa" w:w="3135"/>
          </w:tcPr>
          <w:p>
            <w:pPr>
              <w:jc w:val="right"/>
            </w:pPr>
            <w:r/>
            <w:r>
              <w:rPr>
                <w:rFonts w:ascii="Arial" w:hAnsi="Arial"/>
                <w:b w:val="0"/>
                <w:sz w:val="18"/>
              </w:rPr>
              <w:t>36,000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Salaries &amp; Wages</w:t>
            </w:r>
          </w:p>
        </w:tc>
        <w:tc>
          <w:tcPr>
            <w:tcW w:type="dxa" w:w="3135"/>
          </w:tcPr>
          <w:p>
            <w:pPr>
              <w:jc w:val="right"/>
            </w:pPr>
            <w:r/>
            <w:r>
              <w:rPr>
                <w:rFonts w:ascii="Arial" w:hAnsi="Arial"/>
                <w:b w:val="0"/>
                <w:sz w:val="18"/>
              </w:rPr>
              <w:t>95,000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Superannuation</w:t>
            </w:r>
          </w:p>
        </w:tc>
        <w:tc>
          <w:tcPr>
            <w:tcW w:type="dxa" w:w="3135"/>
          </w:tcPr>
          <w:p>
            <w:pPr>
              <w:jc w:val="right"/>
            </w:pPr>
            <w:r/>
            <w:r>
              <w:rPr>
                <w:rFonts w:ascii="Arial" w:hAnsi="Arial"/>
                <w:b w:val="0"/>
                <w:sz w:val="18"/>
              </w:rPr>
              <w:t>10,450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Telephone</w:t>
            </w:r>
          </w:p>
        </w:tc>
        <w:tc>
          <w:tcPr>
            <w:tcW w:type="dxa" w:w="3135"/>
          </w:tcPr>
          <w:p>
            <w:pPr>
              <w:jc w:val="right"/>
            </w:pPr>
            <w:r/>
            <w:r>
              <w:rPr>
                <w:rFonts w:ascii="Arial" w:hAnsi="Arial"/>
                <w:b w:val="0"/>
                <w:sz w:val="18"/>
              </w:rPr>
              <w:t>2,400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Other Expenses</w:t>
            </w:r>
          </w:p>
        </w:tc>
        <w:tc>
          <w:tcPr>
            <w:tcW w:type="dxa" w:w="3135"/>
          </w:tcPr>
          <w:p>
            <w:pPr>
              <w:jc w:val="right"/>
            </w:pPr>
            <w:r/>
            <w:r>
              <w:rPr>
                <w:rFonts w:ascii="Arial" w:hAnsi="Arial"/>
                <w:b w:val="0"/>
                <w:sz w:val="18"/>
              </w:rPr>
              <w:t>1,800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sz w:val="18"/>
              </w:rPr>
              <w:t>Total Expenses</w:t>
            </w:r>
          </w:p>
        </w:tc>
        <w:tc>
          <w:tcPr>
            <w:tcW w:type="dxa" w:w="3135"/>
          </w:tcPr>
          <w:p>
            <w:pPr>
              <w:jc w:val="right"/>
            </w:pPr>
            <w:r/>
            <w:r>
              <w:rPr>
                <w:rFonts w:ascii="Arial" w:hAnsi="Arial"/>
                <w:b/>
                <w:sz w:val="18"/>
              </w:rPr>
              <w:t>181,100</w:t>
            </w:r>
          </w:p>
        </w:tc>
        <w:tc>
          <w:tcPr>
            <w:tcW w:type="dxa" w:w="3135"/>
          </w:tcPr>
          <w:p>
            <w:pPr>
              <w:jc w:val="right"/>
            </w:pPr>
            <w:r/>
            <w:r>
              <w:rPr>
                <w:rFonts w:ascii="Arial" w:hAnsi="Arial"/>
                <w:b/>
                <w:sz w:val="18"/>
              </w:rPr>
              <w:t>-</w:t>
            </w:r>
          </w:p>
        </w:tc>
      </w:tr>
      <w:tr>
        <w:tc>
          <w:tcPr>
            <w:tcW w:type="dxa" w:w="3135"/>
          </w:tcPr>
          <w:p>
            <w:pPr>
              <w:jc w:val="left"/>
            </w:pPr>
            <w:r/>
            <w:r>
              <w:rPr>
                <w:rFonts w:ascii="Arial" w:hAnsi="Arial"/>
                <w:b w:val="0"/>
                <w:sz w:val="18"/>
              </w:rPr>
            </w:r>
          </w:p>
        </w:tc>
        <w:tc>
          <w:tcPr>
            <w:tcW w:type="dxa" w:w="3135"/>
          </w:tcPr>
          <w:p>
            <w:pPr>
              <w:jc w:val="right"/>
            </w:pPr>
            <w:r/>
            <w:r>
              <w:rPr>
                <w:rFonts w:ascii="Arial" w:hAnsi="Arial"/>
                <w:b w:val="0"/>
                <w:sz w:val="18"/>
              </w:rPr>
            </w:r>
          </w:p>
        </w:tc>
        <w:tc>
          <w:tcPr>
            <w:tcW w:type="dxa" w:w="3135"/>
          </w:tcPr>
          <w:p>
            <w:pPr>
              <w:jc w:val="right"/>
            </w:pPr>
            <w:r/>
            <w:r>
              <w:rPr>
                <w:rFonts w:ascii="Arial" w:hAnsi="Arial"/>
                <w:b w:val="0"/>
                <w:sz w:val="18"/>
              </w:rPr>
            </w:r>
          </w:p>
        </w:tc>
      </w:tr>
      <w:tr>
        <w:tc>
          <w:tcPr>
            <w:tcW w:type="dxa" w:w="3135"/>
          </w:tcPr>
          <w:p>
            <w:pPr>
              <w:jc w:val="left"/>
            </w:pPr>
            <w:r/>
            <w:r>
              <w:rPr>
                <w:rFonts w:ascii="Arial" w:hAnsi="Arial"/>
                <w:b/>
                <w:sz w:val="18"/>
              </w:rPr>
              <w:t>Net Profit (Loss) from Ordinary Activities before income tax</w:t>
            </w:r>
          </w:p>
        </w:tc>
        <w:tc>
          <w:tcPr>
            <w:tcW w:type="dxa" w:w="3135"/>
          </w:tcPr>
          <w:p>
            <w:pPr>
              <w:jc w:val="right"/>
            </w:pPr>
            <w:r/>
            <w:r>
              <w:rPr>
                <w:rFonts w:ascii="Arial" w:hAnsi="Arial"/>
                <w:b/>
                <w:sz w:val="18"/>
              </w:rPr>
              <w:t>75,400</w:t>
            </w:r>
          </w:p>
        </w:tc>
        <w:tc>
          <w:tcPr>
            <w:tcW w:type="dxa" w:w="3135"/>
          </w:tcPr>
          <w:p>
            <w:pPr>
              <w:jc w:val="right"/>
            </w:pPr>
            <w:r/>
            <w:r>
              <w:rPr>
                <w:rFonts w:ascii="Arial" w:hAnsi="Arial"/>
                <w:b/>
                <w:sz w:val="18"/>
              </w:rPr>
              <w:t>-</w:t>
            </w:r>
          </w:p>
        </w:tc>
      </w:tr>
    </w:tbl>
    <w:p>
      <w:pPr>
        <w:jc w:val="center"/>
      </w:pPr>
      <w:r>
        <w:rPr>
          <w:rFonts w:ascii="Arial" w:hAnsi="Arial"/>
          <w:b w:val="0"/>
          <w:sz w:val="14"/>
        </w:rPr>
        <w:t>The accompanying notes form part of these financial statements.</w:t>
      </w:r>
    </w:p>
    <w:p>
      <w:r>
        <w:br w:type="page"/>
      </w:r>
    </w:p>
    <w:p>
      <w:pPr>
        <w:jc w:val="center"/>
      </w:pPr>
      <w:r>
        <w:rPr>
          <w:rFonts w:ascii="Arial" w:hAnsi="Arial"/>
          <w:b/>
          <w:sz w:val="28"/>
        </w:rPr>
        <w:t>ABC Holdings Pty Ltd</w:t>
      </w:r>
    </w:p>
    <w:p>
      <w:pPr>
        <w:jc w:val="center"/>
      </w:pPr>
      <w:r>
        <w:rPr>
          <w:rFonts w:ascii="Arial" w:hAnsi="Arial"/>
          <w:b w:val="0"/>
          <w:sz w:val="20"/>
        </w:rPr>
        <w:t>ABN 12345678901</w:t>
      </w:r>
    </w:p>
    <w:p>
      <w:pPr>
        <w:jc w:val="center"/>
      </w:pPr>
      <w:r>
        <w:rPr>
          <w:rFonts w:ascii="Arial" w:hAnsi="Arial"/>
          <w:b/>
          <w:sz w:val="24"/>
        </w:rPr>
        <w:t>Detailed Balance Sheet</w:t>
      </w:r>
    </w:p>
    <w:p>
      <w:pPr>
        <w:jc w:val="center"/>
      </w:pPr>
      <w:r>
        <w:rPr>
          <w:rFonts w:ascii="Arial" w:hAnsi="Arial"/>
          <w:b w:val="0"/>
          <w:sz w:val="20"/>
        </w:rPr>
        <w:t>As at 30 June 2025</w:t>
      </w:r>
    </w:p>
    <w:tbl>
      <w:tblPr>
        <w:tblW w:type="auto" w:w="0"/>
        <w:jc w:val="center"/>
        <w:tblLayout w:type="autofit"/>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18"/>
              </w:rPr>
            </w:r>
          </w:p>
        </w:tc>
        <w:tc>
          <w:tcPr>
            <w:tcW w:type="dxa" w:w="3135"/>
          </w:tcPr>
          <w:p>
            <w:pPr>
              <w:jc w:val="center"/>
            </w:pPr>
            <w:r/>
            <w:r>
              <w:rPr>
                <w:rFonts w:ascii="Arial" w:hAnsi="Arial"/>
                <w:b/>
                <w:sz w:val="18"/>
              </w:rPr>
              <w:t>2025</w:t>
              <w:br/>
              <w:t>$</w:t>
            </w:r>
          </w:p>
        </w:tc>
        <w:tc>
          <w:tcPr>
            <w:tcW w:type="dxa" w:w="3135"/>
          </w:tcPr>
          <w:p>
            <w:pPr>
              <w:jc w:val="center"/>
            </w:pPr>
            <w:r/>
            <w:r>
              <w:rPr>
                <w:rFonts w:ascii="Arial" w:hAnsi="Arial"/>
                <w:b/>
                <w:sz w:val="18"/>
              </w:rPr>
              <w:t>2024</w:t>
              <w:br/>
              <w:t>$</w:t>
            </w:r>
          </w:p>
        </w:tc>
      </w:tr>
      <w:tr>
        <w:tc>
          <w:tcPr>
            <w:tcW w:type="dxa" w:w="3135"/>
          </w:tcPr>
          <w:p>
            <w:pPr>
              <w:jc w:val="left"/>
            </w:pPr>
            <w:r/>
            <w:r>
              <w:rPr>
                <w:rFonts w:ascii="Arial" w:hAnsi="Arial"/>
                <w:b/>
                <w:sz w:val="18"/>
              </w:rPr>
              <w:t>Current Assets</w:t>
            </w:r>
          </w:p>
        </w:tc>
        <w:tc>
          <w:tcPr>
            <w:tcW w:type="dxa" w:w="3135"/>
          </w:tcPr>
          <w:p>
            <w:pPr>
              <w:jc w:val="right"/>
            </w:pPr>
            <w:r/>
            <w:r>
              <w:rPr>
                <w:rFonts w:ascii="Arial" w:hAnsi="Arial"/>
                <w:b/>
                <w:sz w:val="18"/>
              </w:rPr>
            </w:r>
          </w:p>
        </w:tc>
        <w:tc>
          <w:tcPr>
            <w:tcW w:type="dxa" w:w="3135"/>
          </w:tcPr>
          <w:p>
            <w:pPr>
              <w:jc w:val="right"/>
            </w:pPr>
            <w:r/>
            <w:r>
              <w:rPr>
                <w:rFonts w:ascii="Arial" w:hAnsi="Arial"/>
                <w:b/>
                <w:sz w:val="18"/>
              </w:rPr>
            </w:r>
          </w:p>
        </w:tc>
      </w:tr>
      <w:tr>
        <w:tc>
          <w:tcPr>
            <w:tcW w:type="dxa" w:w="3135"/>
          </w:tcPr>
          <w:p>
            <w:pPr>
              <w:jc w:val="left"/>
            </w:pPr>
            <w:r/>
            <w:r>
              <w:rPr>
                <w:rFonts w:ascii="Arial" w:hAnsi="Arial"/>
                <w:b w:val="0"/>
                <w:sz w:val="18"/>
              </w:rPr>
              <w:t xml:space="preserve">  Cash at Bank - CBA</w:t>
            </w:r>
          </w:p>
        </w:tc>
        <w:tc>
          <w:tcPr>
            <w:tcW w:type="dxa" w:w="3135"/>
          </w:tcPr>
          <w:p>
            <w:pPr>
              <w:jc w:val="right"/>
            </w:pPr>
            <w:r/>
            <w:r>
              <w:rPr>
                <w:rFonts w:ascii="Arial" w:hAnsi="Arial"/>
                <w:b w:val="0"/>
                <w:sz w:val="18"/>
              </w:rPr>
              <w:t>45,000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Trade Debtors</w:t>
            </w:r>
          </w:p>
        </w:tc>
        <w:tc>
          <w:tcPr>
            <w:tcW w:type="dxa" w:w="3135"/>
          </w:tcPr>
          <w:p>
            <w:pPr>
              <w:jc w:val="right"/>
            </w:pPr>
            <w:r/>
            <w:r>
              <w:rPr>
                <w:rFonts w:ascii="Arial" w:hAnsi="Arial"/>
                <w:b w:val="0"/>
                <w:sz w:val="18"/>
              </w:rPr>
              <w:t>32,000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Prepayments</w:t>
            </w:r>
          </w:p>
        </w:tc>
        <w:tc>
          <w:tcPr>
            <w:tcW w:type="dxa" w:w="3135"/>
          </w:tcPr>
          <w:p>
            <w:pPr>
              <w:jc w:val="right"/>
            </w:pPr>
            <w:r/>
            <w:r>
              <w:rPr>
                <w:rFonts w:ascii="Arial" w:hAnsi="Arial"/>
                <w:b w:val="0"/>
                <w:sz w:val="18"/>
              </w:rPr>
              <w:t>2,400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sz w:val="18"/>
              </w:rPr>
              <w:t>Total Current Assets</w:t>
            </w:r>
          </w:p>
        </w:tc>
        <w:tc>
          <w:tcPr>
            <w:tcW w:type="dxa" w:w="3135"/>
          </w:tcPr>
          <w:p>
            <w:pPr>
              <w:jc w:val="right"/>
            </w:pPr>
            <w:r/>
            <w:r>
              <w:rPr>
                <w:rFonts w:ascii="Arial" w:hAnsi="Arial"/>
                <w:b/>
                <w:sz w:val="18"/>
              </w:rPr>
              <w:t>79,400</w:t>
            </w:r>
          </w:p>
        </w:tc>
        <w:tc>
          <w:tcPr>
            <w:tcW w:type="dxa" w:w="3135"/>
          </w:tcPr>
          <w:p>
            <w:pPr>
              <w:jc w:val="right"/>
            </w:pPr>
            <w:r/>
            <w:r>
              <w:rPr>
                <w:rFonts w:ascii="Arial" w:hAnsi="Arial"/>
                <w:b/>
                <w:sz w:val="18"/>
              </w:rPr>
              <w:t>-</w:t>
            </w:r>
          </w:p>
        </w:tc>
      </w:tr>
      <w:tr>
        <w:tc>
          <w:tcPr>
            <w:tcW w:type="dxa" w:w="3135"/>
          </w:tcPr>
          <w:p>
            <w:pPr>
              <w:jc w:val="left"/>
            </w:pPr>
            <w:r/>
            <w:r>
              <w:rPr>
                <w:rFonts w:ascii="Arial" w:hAnsi="Arial"/>
                <w:b w:val="0"/>
                <w:sz w:val="18"/>
              </w:rPr>
            </w:r>
          </w:p>
        </w:tc>
        <w:tc>
          <w:tcPr>
            <w:tcW w:type="dxa" w:w="3135"/>
          </w:tcPr>
          <w:p>
            <w:pPr>
              <w:jc w:val="right"/>
            </w:pPr>
            <w:r/>
            <w:r>
              <w:rPr>
                <w:rFonts w:ascii="Arial" w:hAnsi="Arial"/>
                <w:b w:val="0"/>
                <w:sz w:val="18"/>
              </w:rPr>
            </w:r>
          </w:p>
        </w:tc>
        <w:tc>
          <w:tcPr>
            <w:tcW w:type="dxa" w:w="3135"/>
          </w:tcPr>
          <w:p>
            <w:pPr>
              <w:jc w:val="right"/>
            </w:pPr>
            <w:r/>
            <w:r>
              <w:rPr>
                <w:rFonts w:ascii="Arial" w:hAnsi="Arial"/>
                <w:b w:val="0"/>
                <w:sz w:val="18"/>
              </w:rPr>
            </w:r>
          </w:p>
        </w:tc>
      </w:tr>
      <w:tr>
        <w:tc>
          <w:tcPr>
            <w:tcW w:type="dxa" w:w="3135"/>
          </w:tcPr>
          <w:p>
            <w:pPr>
              <w:jc w:val="left"/>
            </w:pPr>
            <w:r/>
            <w:r>
              <w:rPr>
                <w:rFonts w:ascii="Arial" w:hAnsi="Arial"/>
                <w:b/>
                <w:sz w:val="18"/>
              </w:rPr>
              <w:t>Non-Current Assets</w:t>
            </w:r>
          </w:p>
        </w:tc>
        <w:tc>
          <w:tcPr>
            <w:tcW w:type="dxa" w:w="3135"/>
          </w:tcPr>
          <w:p>
            <w:pPr>
              <w:jc w:val="right"/>
            </w:pPr>
            <w:r/>
            <w:r>
              <w:rPr>
                <w:rFonts w:ascii="Arial" w:hAnsi="Arial"/>
                <w:b/>
                <w:sz w:val="18"/>
              </w:rPr>
            </w:r>
          </w:p>
        </w:tc>
        <w:tc>
          <w:tcPr>
            <w:tcW w:type="dxa" w:w="3135"/>
          </w:tcPr>
          <w:p>
            <w:pPr>
              <w:jc w:val="right"/>
            </w:pPr>
            <w:r/>
            <w:r>
              <w:rPr>
                <w:rFonts w:ascii="Arial" w:hAnsi="Arial"/>
                <w:b/>
                <w:sz w:val="18"/>
              </w:rPr>
            </w:r>
          </w:p>
        </w:tc>
      </w:tr>
      <w:tr>
        <w:tc>
          <w:tcPr>
            <w:tcW w:type="dxa" w:w="3135"/>
          </w:tcPr>
          <w:p>
            <w:pPr>
              <w:jc w:val="left"/>
            </w:pPr>
            <w:r/>
            <w:r>
              <w:rPr>
                <w:rFonts w:ascii="Arial" w:hAnsi="Arial"/>
                <w:b w:val="0"/>
                <w:sz w:val="18"/>
              </w:rPr>
              <w:t xml:space="preserve">  Plant &amp; Equipment at Cost</w:t>
            </w:r>
          </w:p>
        </w:tc>
        <w:tc>
          <w:tcPr>
            <w:tcW w:type="dxa" w:w="3135"/>
          </w:tcPr>
          <w:p>
            <w:pPr>
              <w:jc w:val="right"/>
            </w:pPr>
            <w:r/>
            <w:r>
              <w:rPr>
                <w:rFonts w:ascii="Arial" w:hAnsi="Arial"/>
                <w:b w:val="0"/>
                <w:sz w:val="18"/>
              </w:rPr>
              <w:t>85,000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Less: Accumulated Depreciation - P&amp;E</w:t>
            </w:r>
          </w:p>
        </w:tc>
        <w:tc>
          <w:tcPr>
            <w:tcW w:type="dxa" w:w="3135"/>
          </w:tcPr>
          <w:p>
            <w:pPr>
              <w:jc w:val="right"/>
            </w:pPr>
            <w:r/>
            <w:r>
              <w:rPr>
                <w:rFonts w:ascii="Arial" w:hAnsi="Arial"/>
                <w:b w:val="0"/>
                <w:sz w:val="18"/>
              </w:rPr>
              <w:t>(35,000)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Motor Vehicle at Cost</w:t>
            </w:r>
          </w:p>
        </w:tc>
        <w:tc>
          <w:tcPr>
            <w:tcW w:type="dxa" w:w="3135"/>
          </w:tcPr>
          <w:p>
            <w:pPr>
              <w:jc w:val="right"/>
            </w:pPr>
            <w:r/>
            <w:r>
              <w:rPr>
                <w:rFonts w:ascii="Arial" w:hAnsi="Arial"/>
                <w:b w:val="0"/>
                <w:sz w:val="18"/>
              </w:rPr>
              <w:t>45,000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Less: Accumulated Depreciation - MV</w:t>
            </w:r>
          </w:p>
        </w:tc>
        <w:tc>
          <w:tcPr>
            <w:tcW w:type="dxa" w:w="3135"/>
          </w:tcPr>
          <w:p>
            <w:pPr>
              <w:jc w:val="right"/>
            </w:pPr>
            <w:r/>
            <w:r>
              <w:rPr>
                <w:rFonts w:ascii="Arial" w:hAnsi="Arial"/>
                <w:b w:val="0"/>
                <w:sz w:val="18"/>
              </w:rPr>
              <w:t>(18,000)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sz w:val="18"/>
              </w:rPr>
              <w:t>Total Non-Current Assets</w:t>
            </w:r>
          </w:p>
        </w:tc>
        <w:tc>
          <w:tcPr>
            <w:tcW w:type="dxa" w:w="3135"/>
          </w:tcPr>
          <w:p>
            <w:pPr>
              <w:jc w:val="right"/>
            </w:pPr>
            <w:r/>
            <w:r>
              <w:rPr>
                <w:rFonts w:ascii="Arial" w:hAnsi="Arial"/>
                <w:b/>
                <w:sz w:val="18"/>
              </w:rPr>
              <w:t>77,000</w:t>
            </w:r>
          </w:p>
        </w:tc>
        <w:tc>
          <w:tcPr>
            <w:tcW w:type="dxa" w:w="3135"/>
          </w:tcPr>
          <w:p>
            <w:pPr>
              <w:jc w:val="right"/>
            </w:pPr>
            <w:r/>
            <w:r>
              <w:rPr>
                <w:rFonts w:ascii="Arial" w:hAnsi="Arial"/>
                <w:b/>
                <w:sz w:val="18"/>
              </w:rPr>
              <w:t>-</w:t>
            </w:r>
          </w:p>
        </w:tc>
      </w:tr>
      <w:tr>
        <w:tc>
          <w:tcPr>
            <w:tcW w:type="dxa" w:w="3135"/>
          </w:tcPr>
          <w:p>
            <w:pPr>
              <w:jc w:val="left"/>
            </w:pPr>
            <w:r/>
            <w:r>
              <w:rPr>
                <w:rFonts w:ascii="Arial" w:hAnsi="Arial"/>
                <w:b w:val="0"/>
                <w:sz w:val="18"/>
              </w:rPr>
            </w:r>
          </w:p>
        </w:tc>
        <w:tc>
          <w:tcPr>
            <w:tcW w:type="dxa" w:w="3135"/>
          </w:tcPr>
          <w:p>
            <w:pPr>
              <w:jc w:val="right"/>
            </w:pPr>
            <w:r/>
            <w:r>
              <w:rPr>
                <w:rFonts w:ascii="Arial" w:hAnsi="Arial"/>
                <w:b w:val="0"/>
                <w:sz w:val="18"/>
              </w:rPr>
            </w:r>
          </w:p>
        </w:tc>
        <w:tc>
          <w:tcPr>
            <w:tcW w:type="dxa" w:w="3135"/>
          </w:tcPr>
          <w:p>
            <w:pPr>
              <w:jc w:val="right"/>
            </w:pPr>
            <w:r/>
            <w:r>
              <w:rPr>
                <w:rFonts w:ascii="Arial" w:hAnsi="Arial"/>
                <w:b w:val="0"/>
                <w:sz w:val="18"/>
              </w:rPr>
            </w:r>
          </w:p>
        </w:tc>
      </w:tr>
      <w:tr>
        <w:tc>
          <w:tcPr>
            <w:tcW w:type="dxa" w:w="3135"/>
          </w:tcPr>
          <w:p>
            <w:pPr>
              <w:jc w:val="left"/>
            </w:pPr>
            <w:r/>
            <w:r>
              <w:rPr>
                <w:rFonts w:ascii="Arial" w:hAnsi="Arial"/>
                <w:b/>
                <w:sz w:val="18"/>
              </w:rPr>
              <w:t>Current Liabilities</w:t>
            </w:r>
          </w:p>
        </w:tc>
        <w:tc>
          <w:tcPr>
            <w:tcW w:type="dxa" w:w="3135"/>
          </w:tcPr>
          <w:p>
            <w:pPr>
              <w:jc w:val="right"/>
            </w:pPr>
            <w:r/>
            <w:r>
              <w:rPr>
                <w:rFonts w:ascii="Arial" w:hAnsi="Arial"/>
                <w:b/>
                <w:sz w:val="18"/>
              </w:rPr>
            </w:r>
          </w:p>
        </w:tc>
        <w:tc>
          <w:tcPr>
            <w:tcW w:type="dxa" w:w="3135"/>
          </w:tcPr>
          <w:p>
            <w:pPr>
              <w:jc w:val="right"/>
            </w:pPr>
            <w:r/>
            <w:r>
              <w:rPr>
                <w:rFonts w:ascii="Arial" w:hAnsi="Arial"/>
                <w:b/>
                <w:sz w:val="18"/>
              </w:rPr>
            </w:r>
          </w:p>
        </w:tc>
      </w:tr>
      <w:tr>
        <w:tc>
          <w:tcPr>
            <w:tcW w:type="dxa" w:w="3135"/>
          </w:tcPr>
          <w:p>
            <w:pPr>
              <w:jc w:val="left"/>
            </w:pPr>
            <w:r/>
            <w:r>
              <w:rPr>
                <w:rFonts w:ascii="Arial" w:hAnsi="Arial"/>
                <w:b w:val="0"/>
                <w:sz w:val="18"/>
              </w:rPr>
              <w:t xml:space="preserve">  Trade Creditors</w:t>
            </w:r>
          </w:p>
        </w:tc>
        <w:tc>
          <w:tcPr>
            <w:tcW w:type="dxa" w:w="3135"/>
          </w:tcPr>
          <w:p>
            <w:pPr>
              <w:jc w:val="right"/>
            </w:pPr>
            <w:r/>
            <w:r>
              <w:rPr>
                <w:rFonts w:ascii="Arial" w:hAnsi="Arial"/>
                <w:b w:val="0"/>
                <w:sz w:val="18"/>
              </w:rPr>
              <w:t>15,000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GST Payable</w:t>
            </w:r>
          </w:p>
        </w:tc>
        <w:tc>
          <w:tcPr>
            <w:tcW w:type="dxa" w:w="3135"/>
          </w:tcPr>
          <w:p>
            <w:pPr>
              <w:jc w:val="right"/>
            </w:pPr>
            <w:r/>
            <w:r>
              <w:rPr>
                <w:rFonts w:ascii="Arial" w:hAnsi="Arial"/>
                <w:b w:val="0"/>
                <w:sz w:val="18"/>
              </w:rPr>
              <w:t>8,500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PAYG Withholding</w:t>
            </w:r>
          </w:p>
        </w:tc>
        <w:tc>
          <w:tcPr>
            <w:tcW w:type="dxa" w:w="3135"/>
          </w:tcPr>
          <w:p>
            <w:pPr>
              <w:jc w:val="right"/>
            </w:pPr>
            <w:r/>
            <w:r>
              <w:rPr>
                <w:rFonts w:ascii="Arial" w:hAnsi="Arial"/>
                <w:b w:val="0"/>
                <w:sz w:val="18"/>
              </w:rPr>
              <w:t>4,200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Provision for Annual Leave</w:t>
            </w:r>
          </w:p>
        </w:tc>
        <w:tc>
          <w:tcPr>
            <w:tcW w:type="dxa" w:w="3135"/>
          </w:tcPr>
          <w:p>
            <w:pPr>
              <w:jc w:val="right"/>
            </w:pPr>
            <w:r/>
            <w:r>
              <w:rPr>
                <w:rFonts w:ascii="Arial" w:hAnsi="Arial"/>
                <w:b w:val="0"/>
                <w:sz w:val="18"/>
              </w:rPr>
              <w:t>6,500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Provision for Tax</w:t>
            </w:r>
          </w:p>
        </w:tc>
        <w:tc>
          <w:tcPr>
            <w:tcW w:type="dxa" w:w="3135"/>
          </w:tcPr>
          <w:p>
            <w:pPr>
              <w:jc w:val="right"/>
            </w:pPr>
            <w:r/>
            <w:r>
              <w:rPr>
                <w:rFonts w:ascii="Arial" w:hAnsi="Arial"/>
                <w:b w:val="0"/>
                <w:sz w:val="18"/>
              </w:rPr>
              <w:t>12,000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sz w:val="18"/>
              </w:rPr>
              <w:t>Total Current Liabilities</w:t>
            </w:r>
          </w:p>
        </w:tc>
        <w:tc>
          <w:tcPr>
            <w:tcW w:type="dxa" w:w="3135"/>
          </w:tcPr>
          <w:p>
            <w:pPr>
              <w:jc w:val="right"/>
            </w:pPr>
            <w:r/>
            <w:r>
              <w:rPr>
                <w:rFonts w:ascii="Arial" w:hAnsi="Arial"/>
                <w:b/>
                <w:sz w:val="18"/>
              </w:rPr>
              <w:t>46,200</w:t>
            </w:r>
          </w:p>
        </w:tc>
        <w:tc>
          <w:tcPr>
            <w:tcW w:type="dxa" w:w="3135"/>
          </w:tcPr>
          <w:p>
            <w:pPr>
              <w:jc w:val="right"/>
            </w:pPr>
            <w:r/>
            <w:r>
              <w:rPr>
                <w:rFonts w:ascii="Arial" w:hAnsi="Arial"/>
                <w:b/>
                <w:sz w:val="18"/>
              </w:rPr>
              <w:t>-</w:t>
            </w:r>
          </w:p>
        </w:tc>
      </w:tr>
      <w:tr>
        <w:tc>
          <w:tcPr>
            <w:tcW w:type="dxa" w:w="3135"/>
          </w:tcPr>
          <w:p>
            <w:pPr>
              <w:jc w:val="left"/>
            </w:pPr>
            <w:r/>
            <w:r>
              <w:rPr>
                <w:rFonts w:ascii="Arial" w:hAnsi="Arial"/>
                <w:b w:val="0"/>
                <w:sz w:val="18"/>
              </w:rPr>
            </w:r>
          </w:p>
        </w:tc>
        <w:tc>
          <w:tcPr>
            <w:tcW w:type="dxa" w:w="3135"/>
          </w:tcPr>
          <w:p>
            <w:pPr>
              <w:jc w:val="right"/>
            </w:pPr>
            <w:r/>
            <w:r>
              <w:rPr>
                <w:rFonts w:ascii="Arial" w:hAnsi="Arial"/>
                <w:b w:val="0"/>
                <w:sz w:val="18"/>
              </w:rPr>
            </w:r>
          </w:p>
        </w:tc>
        <w:tc>
          <w:tcPr>
            <w:tcW w:type="dxa" w:w="3135"/>
          </w:tcPr>
          <w:p>
            <w:pPr>
              <w:jc w:val="right"/>
            </w:pPr>
            <w:r/>
            <w:r>
              <w:rPr>
                <w:rFonts w:ascii="Arial" w:hAnsi="Arial"/>
                <w:b w:val="0"/>
                <w:sz w:val="18"/>
              </w:rPr>
            </w:r>
          </w:p>
        </w:tc>
      </w:tr>
      <w:tr>
        <w:tc>
          <w:tcPr>
            <w:tcW w:type="dxa" w:w="3135"/>
          </w:tcPr>
          <w:p>
            <w:pPr>
              <w:jc w:val="left"/>
            </w:pPr>
            <w:r/>
            <w:r>
              <w:rPr>
                <w:rFonts w:ascii="Arial" w:hAnsi="Arial"/>
                <w:b/>
                <w:sz w:val="18"/>
              </w:rPr>
              <w:t>Equity</w:t>
            </w:r>
          </w:p>
        </w:tc>
        <w:tc>
          <w:tcPr>
            <w:tcW w:type="dxa" w:w="3135"/>
          </w:tcPr>
          <w:p>
            <w:pPr>
              <w:jc w:val="right"/>
            </w:pPr>
            <w:r/>
            <w:r>
              <w:rPr>
                <w:rFonts w:ascii="Arial" w:hAnsi="Arial"/>
                <w:b/>
                <w:sz w:val="18"/>
              </w:rPr>
            </w:r>
          </w:p>
        </w:tc>
        <w:tc>
          <w:tcPr>
            <w:tcW w:type="dxa" w:w="3135"/>
          </w:tcPr>
          <w:p>
            <w:pPr>
              <w:jc w:val="right"/>
            </w:pPr>
            <w:r/>
            <w:r>
              <w:rPr>
                <w:rFonts w:ascii="Arial" w:hAnsi="Arial"/>
                <w:b/>
                <w:sz w:val="18"/>
              </w:rPr>
            </w:r>
          </w:p>
        </w:tc>
      </w:tr>
      <w:tr>
        <w:tc>
          <w:tcPr>
            <w:tcW w:type="dxa" w:w="3135"/>
          </w:tcPr>
          <w:p>
            <w:pPr>
              <w:jc w:val="left"/>
            </w:pPr>
            <w:r/>
            <w:r>
              <w:rPr>
                <w:rFonts w:ascii="Arial" w:hAnsi="Arial"/>
                <w:b w:val="0"/>
                <w:sz w:val="18"/>
              </w:rPr>
              <w:t xml:space="preserve">  Issued Capital</w:t>
            </w:r>
          </w:p>
        </w:tc>
        <w:tc>
          <w:tcPr>
            <w:tcW w:type="dxa" w:w="3135"/>
          </w:tcPr>
          <w:p>
            <w:pPr>
              <w:jc w:val="right"/>
            </w:pPr>
            <w:r/>
            <w:r>
              <w:rPr>
                <w:rFonts w:ascii="Arial" w:hAnsi="Arial"/>
                <w:b w:val="0"/>
                <w:sz w:val="18"/>
              </w:rPr>
              <w:t>100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 xml:space="preserve">  Retained Earnings</w:t>
            </w:r>
          </w:p>
        </w:tc>
        <w:tc>
          <w:tcPr>
            <w:tcW w:type="dxa" w:w="3135"/>
          </w:tcPr>
          <w:p>
            <w:pPr>
              <w:jc w:val="right"/>
            </w:pPr>
            <w:r/>
            <w:r>
              <w:rPr>
                <w:rFonts w:ascii="Arial" w:hAnsi="Arial"/>
                <w:b w:val="0"/>
                <w:sz w:val="18"/>
              </w:rPr>
              <w:t>100,000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sz w:val="18"/>
              </w:rPr>
              <w:t>Total Equity</w:t>
            </w:r>
          </w:p>
        </w:tc>
        <w:tc>
          <w:tcPr>
            <w:tcW w:type="dxa" w:w="3135"/>
          </w:tcPr>
          <w:p>
            <w:pPr>
              <w:jc w:val="right"/>
            </w:pPr>
            <w:r/>
            <w:r>
              <w:rPr>
                <w:rFonts w:ascii="Arial" w:hAnsi="Arial"/>
                <w:b/>
                <w:sz w:val="18"/>
              </w:rPr>
              <w:t>100,100</w:t>
            </w:r>
          </w:p>
        </w:tc>
        <w:tc>
          <w:tcPr>
            <w:tcW w:type="dxa" w:w="3135"/>
          </w:tcPr>
          <w:p>
            <w:pPr>
              <w:jc w:val="right"/>
            </w:pPr>
            <w:r/>
            <w:r>
              <w:rPr>
                <w:rFonts w:ascii="Arial" w:hAnsi="Arial"/>
                <w:b/>
                <w:sz w:val="18"/>
              </w:rPr>
              <w:t>-</w:t>
            </w:r>
          </w:p>
        </w:tc>
      </w:tr>
      <w:tr>
        <w:tc>
          <w:tcPr>
            <w:tcW w:type="dxa" w:w="3135"/>
          </w:tcPr>
          <w:p>
            <w:pPr>
              <w:jc w:val="left"/>
            </w:pPr>
            <w:r/>
            <w:r>
              <w:rPr>
                <w:rFonts w:ascii="Arial" w:hAnsi="Arial"/>
                <w:b w:val="0"/>
                <w:sz w:val="18"/>
              </w:rPr>
            </w:r>
          </w:p>
        </w:tc>
        <w:tc>
          <w:tcPr>
            <w:tcW w:type="dxa" w:w="3135"/>
          </w:tcPr>
          <w:p>
            <w:pPr>
              <w:jc w:val="right"/>
            </w:pPr>
            <w:r/>
            <w:r>
              <w:rPr>
                <w:rFonts w:ascii="Arial" w:hAnsi="Arial"/>
                <w:b w:val="0"/>
                <w:sz w:val="18"/>
              </w:rPr>
            </w:r>
          </w:p>
        </w:tc>
        <w:tc>
          <w:tcPr>
            <w:tcW w:type="dxa" w:w="3135"/>
          </w:tcPr>
          <w:p>
            <w:pPr>
              <w:jc w:val="right"/>
            </w:pPr>
            <w:r/>
            <w:r>
              <w:rPr>
                <w:rFonts w:ascii="Arial" w:hAnsi="Arial"/>
                <w:b w:val="0"/>
                <w:sz w:val="18"/>
              </w:rPr>
            </w:r>
          </w:p>
        </w:tc>
      </w:tr>
      <w:tr>
        <w:tc>
          <w:tcPr>
            <w:tcW w:type="dxa" w:w="3135"/>
          </w:tcPr>
          <w:p>
            <w:pPr>
              <w:jc w:val="left"/>
            </w:pPr>
            <w:r/>
            <w:r>
              <w:rPr>
                <w:rFonts w:ascii="Arial" w:hAnsi="Arial"/>
                <w:b/>
                <w:sz w:val="18"/>
              </w:rPr>
              <w:t>Total Assets</w:t>
            </w:r>
          </w:p>
        </w:tc>
        <w:tc>
          <w:tcPr>
            <w:tcW w:type="dxa" w:w="3135"/>
          </w:tcPr>
          <w:p>
            <w:pPr>
              <w:jc w:val="right"/>
            </w:pPr>
            <w:r/>
            <w:r>
              <w:rPr>
                <w:rFonts w:ascii="Arial" w:hAnsi="Arial"/>
                <w:b/>
                <w:sz w:val="18"/>
              </w:rPr>
              <w:t>156,400</w:t>
            </w:r>
          </w:p>
        </w:tc>
        <w:tc>
          <w:tcPr>
            <w:tcW w:type="dxa" w:w="3135"/>
          </w:tcPr>
          <w:p>
            <w:pPr>
              <w:jc w:val="right"/>
            </w:pPr>
            <w:r/>
            <w:r>
              <w:rPr>
                <w:rFonts w:ascii="Arial" w:hAnsi="Arial"/>
                <w:b/>
                <w:sz w:val="18"/>
              </w:rPr>
              <w:t>-</w:t>
            </w:r>
          </w:p>
        </w:tc>
      </w:tr>
      <w:tr>
        <w:tc>
          <w:tcPr>
            <w:tcW w:type="dxa" w:w="3135"/>
          </w:tcPr>
          <w:p>
            <w:pPr>
              <w:jc w:val="left"/>
            </w:pPr>
            <w:r/>
            <w:r>
              <w:rPr>
                <w:rFonts w:ascii="Arial" w:hAnsi="Arial"/>
                <w:b/>
                <w:sz w:val="18"/>
              </w:rPr>
              <w:t>Total Liabilities</w:t>
            </w:r>
          </w:p>
        </w:tc>
        <w:tc>
          <w:tcPr>
            <w:tcW w:type="dxa" w:w="3135"/>
          </w:tcPr>
          <w:p>
            <w:pPr>
              <w:jc w:val="right"/>
            </w:pPr>
            <w:r/>
            <w:r>
              <w:rPr>
                <w:rFonts w:ascii="Arial" w:hAnsi="Arial"/>
                <w:b/>
                <w:sz w:val="18"/>
              </w:rPr>
              <w:t>46,200</w:t>
            </w:r>
          </w:p>
        </w:tc>
        <w:tc>
          <w:tcPr>
            <w:tcW w:type="dxa" w:w="3135"/>
          </w:tcPr>
          <w:p>
            <w:pPr>
              <w:jc w:val="right"/>
            </w:pPr>
            <w:r/>
            <w:r>
              <w:rPr>
                <w:rFonts w:ascii="Arial" w:hAnsi="Arial"/>
                <w:b/>
                <w:sz w:val="18"/>
              </w:rPr>
              <w:t>-</w:t>
            </w:r>
          </w:p>
        </w:tc>
      </w:tr>
      <w:tr>
        <w:tc>
          <w:tcPr>
            <w:tcW w:type="dxa" w:w="3135"/>
          </w:tcPr>
          <w:p>
            <w:pPr>
              <w:jc w:val="left"/>
            </w:pPr>
            <w:r/>
            <w:r>
              <w:rPr>
                <w:rFonts w:ascii="Arial" w:hAnsi="Arial"/>
                <w:b/>
                <w:sz w:val="18"/>
              </w:rPr>
              <w:t>Net Assets</w:t>
            </w:r>
          </w:p>
        </w:tc>
        <w:tc>
          <w:tcPr>
            <w:tcW w:type="dxa" w:w="3135"/>
          </w:tcPr>
          <w:p>
            <w:pPr>
              <w:jc w:val="right"/>
            </w:pPr>
            <w:r/>
            <w:r>
              <w:rPr>
                <w:rFonts w:ascii="Arial" w:hAnsi="Arial"/>
                <w:b/>
                <w:sz w:val="18"/>
              </w:rPr>
              <w:t>110,200</w:t>
            </w:r>
          </w:p>
        </w:tc>
        <w:tc>
          <w:tcPr>
            <w:tcW w:type="dxa" w:w="3135"/>
          </w:tcPr>
          <w:p>
            <w:pPr>
              <w:jc w:val="right"/>
            </w:pPr>
            <w:r/>
            <w:r>
              <w:rPr>
                <w:rFonts w:ascii="Arial" w:hAnsi="Arial"/>
                <w:b/>
                <w:sz w:val="18"/>
              </w:rPr>
              <w:t>-</w:t>
            </w:r>
          </w:p>
        </w:tc>
      </w:tr>
    </w:tbl>
    <w:p>
      <w:pPr>
        <w:jc w:val="center"/>
      </w:pPr>
      <w:r>
        <w:rPr>
          <w:rFonts w:ascii="Arial" w:hAnsi="Arial"/>
          <w:b w:val="0"/>
          <w:sz w:val="14"/>
        </w:rPr>
        <w:t>The accompanying notes form part of these financial statements.</w:t>
      </w:r>
    </w:p>
    <w:p>
      <w:r>
        <w:br w:type="page"/>
      </w:r>
    </w:p>
    <w:p>
      <w:pPr>
        <w:jc w:val="center"/>
      </w:pPr>
      <w:r>
        <w:rPr>
          <w:rFonts w:ascii="Arial" w:hAnsi="Arial"/>
          <w:b/>
          <w:sz w:val="28"/>
        </w:rPr>
        <w:t>ABC Holdings Pty Ltd</w:t>
      </w:r>
    </w:p>
    <w:p>
      <w:pPr>
        <w:jc w:val="center"/>
      </w:pPr>
      <w:r>
        <w:rPr>
          <w:rFonts w:ascii="Arial" w:hAnsi="Arial"/>
          <w:b w:val="0"/>
          <w:sz w:val="20"/>
        </w:rPr>
        <w:t>ABN 12345678901</w:t>
      </w:r>
    </w:p>
    <w:p>
      <w:pPr>
        <w:jc w:val="center"/>
      </w:pPr>
      <w:r>
        <w:rPr>
          <w:rFonts w:ascii="Arial" w:hAnsi="Arial"/>
          <w:b/>
          <w:sz w:val="24"/>
        </w:rPr>
        <w:t>Profit and Loss Statement</w:t>
      </w:r>
    </w:p>
    <w:p>
      <w:pPr>
        <w:jc w:val="center"/>
      </w:pPr>
      <w:r>
        <w:rPr>
          <w:rFonts w:ascii="Arial" w:hAnsi="Arial"/>
          <w:b w:val="0"/>
          <w:sz w:val="20"/>
        </w:rPr>
        <w:t>For the year ended 30 June 2025</w:t>
      </w:r>
    </w:p>
    <w:tbl>
      <w:tblPr>
        <w:tblW w:type="auto" w:w="0"/>
        <w:jc w:val="center"/>
        <w:tblLayout w:type="autofit"/>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18"/>
              </w:rPr>
            </w:r>
          </w:p>
        </w:tc>
        <w:tc>
          <w:tcPr>
            <w:tcW w:type="dxa" w:w="3135"/>
          </w:tcPr>
          <w:p>
            <w:pPr>
              <w:jc w:val="center"/>
            </w:pPr>
            <w:r/>
            <w:r>
              <w:rPr>
                <w:rFonts w:ascii="Arial" w:hAnsi="Arial"/>
                <w:b/>
                <w:sz w:val="18"/>
              </w:rPr>
              <w:t>2025</w:t>
              <w:br/>
              <w:t>$</w:t>
            </w:r>
          </w:p>
        </w:tc>
        <w:tc>
          <w:tcPr>
            <w:tcW w:type="dxa" w:w="3135"/>
          </w:tcPr>
          <w:p>
            <w:pPr>
              <w:jc w:val="center"/>
            </w:pPr>
            <w:r/>
            <w:r>
              <w:rPr>
                <w:rFonts w:ascii="Arial" w:hAnsi="Arial"/>
                <w:b/>
                <w:sz w:val="18"/>
              </w:rPr>
              <w:t>2024</w:t>
              <w:br/>
              <w:t>$</w:t>
            </w:r>
          </w:p>
        </w:tc>
      </w:tr>
      <w:tr>
        <w:tc>
          <w:tcPr>
            <w:tcW w:type="dxa" w:w="3135"/>
          </w:tcPr>
          <w:p>
            <w:pPr>
              <w:jc w:val="left"/>
            </w:pPr>
            <w:r/>
            <w:r>
              <w:rPr>
                <w:rFonts w:ascii="Arial" w:hAnsi="Arial"/>
                <w:b w:val="0"/>
                <w:sz w:val="18"/>
              </w:rPr>
              <w:t>Operating profit (deficit) before income tax</w:t>
            </w:r>
          </w:p>
        </w:tc>
        <w:tc>
          <w:tcPr>
            <w:tcW w:type="dxa" w:w="3135"/>
          </w:tcPr>
          <w:p>
            <w:pPr>
              <w:jc w:val="right"/>
            </w:pPr>
            <w:r/>
            <w:r>
              <w:rPr>
                <w:rFonts w:ascii="Arial" w:hAnsi="Arial"/>
                <w:b w:val="0"/>
                <w:sz w:val="18"/>
              </w:rPr>
              <w:t>75,400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Income tax (credit) attributable to operating profit (loss)</w:t>
            </w:r>
          </w:p>
        </w:tc>
        <w:tc>
          <w:tcPr>
            <w:tcW w:type="dxa" w:w="3135"/>
          </w:tcPr>
          <w:p>
            <w:pPr>
              <w:jc w:val="right"/>
            </w:pPr>
            <w:r/>
            <w:r>
              <w:rPr>
                <w:rFonts w:ascii="Arial" w:hAnsi="Arial"/>
                <w:b w:val="0"/>
                <w:sz w:val="18"/>
              </w:rPr>
              <w:t>-</w:t>
            </w:r>
          </w:p>
        </w:tc>
        <w:tc>
          <w:tcPr>
            <w:tcW w:type="dxa" w:w="3135"/>
          </w:tcPr>
          <w:p>
            <w:pPr>
              <w:jc w:val="right"/>
            </w:pPr>
            <w:r/>
            <w:r>
              <w:rPr>
                <w:rFonts w:ascii="Arial" w:hAnsi="Arial"/>
                <w:b w:val="0"/>
                <w:sz w:val="18"/>
              </w:rPr>
              <w:t>-</w:t>
            </w:r>
          </w:p>
        </w:tc>
      </w:tr>
      <w:tr>
        <w:tc>
          <w:tcPr>
            <w:tcW w:type="dxa" w:w="3135"/>
          </w:tcPr>
          <w:p>
            <w:pPr>
              <w:jc w:val="left"/>
            </w:pPr>
            <w:r/>
            <w:r>
              <w:rPr>
                <w:rFonts w:ascii="Arial" w:hAnsi="Arial"/>
                <w:b/>
                <w:sz w:val="18"/>
              </w:rPr>
              <w:t>Operating profit (deficit) after income tax</w:t>
            </w:r>
          </w:p>
        </w:tc>
        <w:tc>
          <w:tcPr>
            <w:tcW w:type="dxa" w:w="3135"/>
          </w:tcPr>
          <w:p>
            <w:pPr>
              <w:jc w:val="right"/>
            </w:pPr>
            <w:r/>
            <w:r>
              <w:rPr>
                <w:rFonts w:ascii="Arial" w:hAnsi="Arial"/>
                <w:b/>
                <w:sz w:val="18"/>
              </w:rPr>
              <w:t>75,400</w:t>
            </w:r>
          </w:p>
        </w:tc>
        <w:tc>
          <w:tcPr>
            <w:tcW w:type="dxa" w:w="3135"/>
          </w:tcPr>
          <w:p>
            <w:pPr>
              <w:jc w:val="right"/>
            </w:pPr>
            <w:r/>
            <w:r>
              <w:rPr>
                <w:rFonts w:ascii="Arial" w:hAnsi="Arial"/>
                <w:b/>
                <w:sz w:val="18"/>
              </w:rPr>
              <w:t>-</w:t>
            </w:r>
          </w:p>
        </w:tc>
      </w:tr>
      <w:tr>
        <w:tc>
          <w:tcPr>
            <w:tcW w:type="dxa" w:w="3135"/>
          </w:tcPr>
          <w:p>
            <w:pPr>
              <w:jc w:val="left"/>
            </w:pPr>
            <w:r/>
            <w:r>
              <w:rPr>
                <w:rFonts w:ascii="Arial" w:hAnsi="Arial"/>
                <w:b w:val="0"/>
                <w:sz w:val="18"/>
              </w:rPr>
            </w:r>
          </w:p>
        </w:tc>
        <w:tc>
          <w:tcPr>
            <w:tcW w:type="dxa" w:w="3135"/>
          </w:tcPr>
          <w:p>
            <w:pPr>
              <w:jc w:val="right"/>
            </w:pPr>
            <w:r/>
            <w:r>
              <w:rPr>
                <w:rFonts w:ascii="Arial" w:hAnsi="Arial"/>
                <w:b w:val="0"/>
                <w:sz w:val="18"/>
              </w:rPr>
            </w:r>
          </w:p>
        </w:tc>
        <w:tc>
          <w:tcPr>
            <w:tcW w:type="dxa" w:w="3135"/>
          </w:tcPr>
          <w:p>
            <w:pPr>
              <w:jc w:val="right"/>
            </w:pPr>
            <w:r/>
            <w:r>
              <w:rPr>
                <w:rFonts w:ascii="Arial" w:hAnsi="Arial"/>
                <w:b w:val="0"/>
                <w:sz w:val="18"/>
              </w:rPr>
            </w:r>
          </w:p>
        </w:tc>
      </w:tr>
      <w:tr>
        <w:tc>
          <w:tcPr>
            <w:tcW w:type="dxa" w:w="3135"/>
          </w:tcPr>
          <w:p>
            <w:pPr>
              <w:jc w:val="left"/>
            </w:pPr>
            <w:r/>
            <w:r>
              <w:rPr>
                <w:rFonts w:ascii="Arial" w:hAnsi="Arial"/>
                <w:b w:val="0"/>
                <w:sz w:val="18"/>
              </w:rPr>
              <w:t>Retained profits at beginning of year</w:t>
            </w:r>
          </w:p>
        </w:tc>
        <w:tc>
          <w:tcPr>
            <w:tcW w:type="dxa" w:w="3135"/>
          </w:tcPr>
          <w:p>
            <w:pPr>
              <w:jc w:val="right"/>
            </w:pPr>
            <w:r/>
            <w:r>
              <w:rPr>
                <w:rFonts w:ascii="Arial" w:hAnsi="Arial"/>
                <w:b w:val="0"/>
                <w:sz w:val="18"/>
              </w:rPr>
              <w:t>24,600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Total available for appropriation</w:t>
            </w:r>
          </w:p>
        </w:tc>
        <w:tc>
          <w:tcPr>
            <w:tcW w:type="dxa" w:w="3135"/>
          </w:tcPr>
          <w:p>
            <w:pPr>
              <w:jc w:val="right"/>
            </w:pPr>
            <w:r/>
            <w:r>
              <w:rPr>
                <w:rFonts w:ascii="Arial" w:hAnsi="Arial"/>
                <w:b w:val="0"/>
                <w:sz w:val="18"/>
              </w:rPr>
              <w:t>100,000</w:t>
            </w:r>
          </w:p>
        </w:tc>
        <w:tc>
          <w:tcPr>
            <w:tcW w:type="dxa" w:w="3135"/>
          </w:tcPr>
          <w:p>
            <w:pPr>
              <w:jc w:val="right"/>
            </w:pPr>
            <w:r/>
            <w:r>
              <w:rPr>
                <w:rFonts w:ascii="Arial" w:hAnsi="Arial"/>
                <w:b w:val="0"/>
                <w:sz w:val="18"/>
              </w:rPr>
              <w:t>-</w:t>
            </w:r>
          </w:p>
        </w:tc>
      </w:tr>
      <w:tr>
        <w:tc>
          <w:tcPr>
            <w:tcW w:type="dxa" w:w="3135"/>
          </w:tcPr>
          <w:p>
            <w:pPr>
              <w:jc w:val="left"/>
            </w:pPr>
            <w:r/>
            <w:r>
              <w:rPr>
                <w:rFonts w:ascii="Arial" w:hAnsi="Arial"/>
                <w:b w:val="0"/>
                <w:sz w:val="18"/>
              </w:rPr>
              <w:t>Dividends provided for or paid</w:t>
            </w:r>
          </w:p>
        </w:tc>
        <w:tc>
          <w:tcPr>
            <w:tcW w:type="dxa" w:w="3135"/>
          </w:tcPr>
          <w:p>
            <w:pPr>
              <w:jc w:val="right"/>
            </w:pPr>
            <w:r/>
            <w:r>
              <w:rPr>
                <w:rFonts w:ascii="Arial" w:hAnsi="Arial"/>
                <w:b w:val="0"/>
                <w:sz w:val="18"/>
              </w:rPr>
              <w:t>-</w:t>
            </w:r>
          </w:p>
        </w:tc>
        <w:tc>
          <w:tcPr>
            <w:tcW w:type="dxa" w:w="3135"/>
          </w:tcPr>
          <w:p>
            <w:pPr>
              <w:jc w:val="right"/>
            </w:pPr>
            <w:r/>
            <w:r>
              <w:rPr>
                <w:rFonts w:ascii="Arial" w:hAnsi="Arial"/>
                <w:b w:val="0"/>
                <w:sz w:val="18"/>
              </w:rPr>
              <w:t>-</w:t>
            </w:r>
          </w:p>
        </w:tc>
      </w:tr>
      <w:tr>
        <w:tc>
          <w:tcPr>
            <w:tcW w:type="dxa" w:w="3135"/>
          </w:tcPr>
          <w:p>
            <w:pPr>
              <w:jc w:val="left"/>
            </w:pPr>
            <w:r/>
            <w:r>
              <w:rPr>
                <w:rFonts w:ascii="Arial" w:hAnsi="Arial"/>
                <w:b/>
                <w:sz w:val="18"/>
              </w:rPr>
              <w:t>Retained profits at end of financial year</w:t>
            </w:r>
          </w:p>
        </w:tc>
        <w:tc>
          <w:tcPr>
            <w:tcW w:type="dxa" w:w="3135"/>
          </w:tcPr>
          <w:p>
            <w:pPr>
              <w:jc w:val="right"/>
            </w:pPr>
            <w:r/>
            <w:r>
              <w:rPr>
                <w:rFonts w:ascii="Arial" w:hAnsi="Arial"/>
                <w:b/>
                <w:sz w:val="18"/>
              </w:rPr>
              <w:t>100,000</w:t>
            </w:r>
          </w:p>
        </w:tc>
        <w:tc>
          <w:tcPr>
            <w:tcW w:type="dxa" w:w="3135"/>
          </w:tcPr>
          <w:p>
            <w:pPr>
              <w:jc w:val="right"/>
            </w:pPr>
            <w:r/>
            <w:r>
              <w:rPr>
                <w:rFonts w:ascii="Arial" w:hAnsi="Arial"/>
                <w:b/>
                <w:sz w:val="18"/>
              </w:rPr>
              <w:t>-</w:t>
            </w:r>
          </w:p>
        </w:tc>
      </w:tr>
    </w:tbl>
    <w:p>
      <w:pPr>
        <w:jc w:val="center"/>
      </w:pPr>
      <w:r>
        <w:rPr>
          <w:rFonts w:ascii="Arial" w:hAnsi="Arial"/>
          <w:b w:val="0"/>
          <w:sz w:val="14"/>
        </w:rPr>
        <w:t>The accompanying notes form part of these financial statements.</w:t>
      </w:r>
    </w:p>
    <w:p>
      <w:r>
        <w:br w:type="page"/>
      </w:r>
    </w:p>
    <w:p>
      <w:pPr>
        <w:jc w:val="center"/>
      </w:pPr>
      <w:r>
        <w:rPr>
          <w:rFonts w:ascii="Arial" w:hAnsi="Arial"/>
          <w:b/>
          <w:sz w:val="28"/>
        </w:rPr>
        <w:t>ABC Holdings Pty Ltd</w:t>
      </w:r>
    </w:p>
    <w:p>
      <w:pPr>
        <w:jc w:val="center"/>
      </w:pPr>
      <w:r>
        <w:rPr>
          <w:rFonts w:ascii="Arial" w:hAnsi="Arial"/>
          <w:b w:val="0"/>
          <w:sz w:val="20"/>
        </w:rPr>
        <w:t>ABN 12345678901</w:t>
      </w:r>
    </w:p>
    <w:p>
      <w:pPr>
        <w:jc w:val="center"/>
      </w:pPr>
      <w:r>
        <w:rPr>
          <w:rFonts w:ascii="Arial" w:hAnsi="Arial"/>
          <w:b/>
          <w:sz w:val="24"/>
        </w:rPr>
        <w:t>Notes to the Financial Statements</w:t>
      </w:r>
    </w:p>
    <w:p>
      <w:pPr>
        <w:jc w:val="center"/>
      </w:pPr>
      <w:r>
        <w:rPr>
          <w:rFonts w:ascii="Arial" w:hAnsi="Arial"/>
          <w:b w:val="0"/>
          <w:sz w:val="20"/>
        </w:rPr>
        <w:t>For the year ended 30 June 2025</w:t>
      </w:r>
    </w:p>
    <w:p>
      <w:pPr>
        <w:jc w:val="left"/>
      </w:pPr>
      <w:r>
        <w:rPr>
          <w:rFonts w:ascii="Arial" w:hAnsi="Arial"/>
          <w:b/>
          <w:sz w:val="20"/>
        </w:rPr>
        <w:t>Note 1: Summary of Significant Accounting Policies</w:t>
      </w:r>
    </w:p>
    <w:p>
      <w:pPr>
        <w:jc w:val="left"/>
      </w:pPr>
      <w:r>
        <w:rPr>
          <w:rFonts w:ascii="Arial" w:hAnsi="Arial"/>
          <w:b/>
          <w:sz w:val="18"/>
        </w:rPr>
        <w:t>Basis of Preparation</w:t>
      </w:r>
    </w:p>
    <w:p>
      <w:pPr>
        <w:jc w:val="left"/>
      </w:pPr>
      <w:r>
        <w:rPr>
          <w:rFonts w:ascii="Arial" w:hAnsi="Arial"/>
          <w:b w:val="0"/>
          <w:sz w:val="18"/>
        </w:rPr>
        <w:t>ABC Holdings Pty Ltd is a company limited by shares, incorporated and domiciled in Australia. The director has prepared the financial statements on the basis that the company is a non-reporting entity because there are no users dependent on general purpose financial statements. The financial statements are therefore special purpose financial statements that have been prepared in order to meet the requirements of the Corporations Act 2001.</w:t>
      </w:r>
    </w:p>
    <w:p>
      <w:pPr>
        <w:jc w:val="left"/>
      </w:pPr>
      <w:r>
        <w:rPr>
          <w:rFonts w:ascii="Arial" w:hAnsi="Arial"/>
          <w:b w:val="0"/>
          <w:sz w:val="18"/>
        </w:rPr>
        <w:t>The financial statements have been prepared in accordance with the recognition and measurement requirements of the Australian Accounting Standards, the Australian Accounting Interpretations and the significant accounting policies disclosed below, which the director has determined are appropriate to meet the needs of members. Such accounting policies are consistent with the previous period unless stated otherwise.</w:t>
      </w:r>
    </w:p>
    <w:p>
      <w:pPr>
        <w:jc w:val="left"/>
      </w:pPr>
      <w:r>
        <w:rPr>
          <w:rFonts w:ascii="Arial" w:hAnsi="Arial"/>
          <w:b w:val="0"/>
          <w:sz w:val="18"/>
        </w:rPr>
        <w:t>The financial statements have been prepared on an accruals basis and are based on historical costs unless otherwise stated in the notes.</w:t>
      </w:r>
    </w:p>
    <w:p>
      <w:pPr>
        <w:jc w:val="left"/>
      </w:pPr>
      <w:r>
        <w:rPr>
          <w:rFonts w:ascii="Arial" w:hAnsi="Arial"/>
          <w:b/>
          <w:sz w:val="18"/>
        </w:rPr>
        <w:t>(a) Income Tax</w:t>
      </w:r>
    </w:p>
    <w:p>
      <w:pPr>
        <w:jc w:val="left"/>
      </w:pPr>
      <w:r>
        <w:rPr>
          <w:rFonts w:ascii="Arial" w:hAnsi="Arial"/>
          <w:b w:val="0"/>
          <w:sz w:val="18"/>
        </w:rPr>
        <w:t>The income tax expense (income) for the year comprises current income tax expense (income) and deferred tax expense (income). Current income tax expense charged to the profit or loss is the tax payable on taxable income. Deferred tax expense reflects movements in deferred tax asset and deferred tax liability balances during the year.</w:t>
      </w:r>
    </w:p>
    <w:p>
      <w:pPr>
        <w:jc w:val="left"/>
      </w:pPr>
      <w:r>
        <w:rPr>
          <w:rFonts w:ascii="Arial" w:hAnsi="Arial"/>
          <w:b/>
          <w:sz w:val="18"/>
        </w:rPr>
        <w:t>(b) Revenue and Other Income</w:t>
      </w:r>
    </w:p>
    <w:p>
      <w:pPr>
        <w:jc w:val="left"/>
      </w:pPr>
      <w:r>
        <w:rPr>
          <w:rFonts w:ascii="Arial" w:hAnsi="Arial"/>
          <w:b w:val="0"/>
          <w:sz w:val="18"/>
        </w:rPr>
        <w:t>Revenue is measured at the fair value of the consideration received or receivable after taking into account any trade discounts and volume rebates allowed. Revenue from the sale of goods is recognised at the point of delivery as this corresponds to the transfer of significant risks and rewards of ownership of the goods.</w:t>
      </w:r>
    </w:p>
    <w:p>
      <w:pPr>
        <w:jc w:val="left"/>
      </w:pPr>
      <w:r>
        <w:rPr>
          <w:rFonts w:ascii="Arial" w:hAnsi="Arial"/>
          <w:b w:val="0"/>
          <w:sz w:val="18"/>
        </w:rPr>
        <w:t>Interest revenue is recognised using the effective interest method. Dividend revenue is recognised when the right to receive a dividend has been established. All revenue is stated net of the amount of goods and services tax.</w:t>
      </w:r>
    </w:p>
    <w:p>
      <w:pPr>
        <w:jc w:val="left"/>
      </w:pPr>
      <w:r>
        <w:rPr>
          <w:rFonts w:ascii="Arial" w:hAnsi="Arial"/>
          <w:b/>
          <w:sz w:val="18"/>
        </w:rPr>
        <w:t>(c) Goods and Services Tax (GST)</w:t>
      </w:r>
    </w:p>
    <w:p>
      <w:pPr>
        <w:jc w:val="left"/>
      </w:pPr>
      <w:r>
        <w:rPr>
          <w:rFonts w:ascii="Arial" w:hAnsi="Arial"/>
          <w:b w:val="0"/>
          <w:sz w:val="18"/>
        </w:rPr>
        <w:t>Revenues, expenses and assets are recognised net of the amount of GST, except where the amount of GST incurred is not recoverable from the Australian Taxation Office (ATO). Receivables and payables are stated inclusive of the amount of GST receivable or payable. The net amount of GST recoverable from, or payable to, the ATO is included with other receivables or payables in the balance sheet.</w:t>
      </w:r>
    </w:p>
    <w:p>
      <w:pPr>
        <w:jc w:val="center"/>
      </w:pPr>
      <w:r>
        <w:rPr>
          <w:rFonts w:ascii="Arial" w:hAnsi="Arial"/>
          <w:b w:val="0"/>
          <w:sz w:val="14"/>
        </w:rPr>
        <w:t>The accompanying notes form part of these financial statements.</w:t>
      </w:r>
    </w:p>
    <w:p>
      <w:r>
        <w:br w:type="page"/>
      </w:r>
    </w:p>
    <w:p>
      <w:pPr>
        <w:jc w:val="center"/>
      </w:pPr>
      <w:r>
        <w:rPr>
          <w:rFonts w:ascii="Arial" w:hAnsi="Arial"/>
          <w:b/>
          <w:sz w:val="28"/>
        </w:rPr>
        <w:t>ABC Holdings Pty Ltd</w:t>
      </w:r>
    </w:p>
    <w:p>
      <w:pPr>
        <w:jc w:val="center"/>
      </w:pPr>
      <w:r>
        <w:rPr>
          <w:rFonts w:ascii="Arial" w:hAnsi="Arial"/>
          <w:b w:val="0"/>
          <w:sz w:val="20"/>
        </w:rPr>
        <w:t>ABN 12345678901</w:t>
      </w:r>
    </w:p>
    <w:p>
      <w:pPr>
        <w:jc w:val="center"/>
      </w:pPr>
      <w:r>
        <w:rPr>
          <w:rFonts w:ascii="Arial" w:hAnsi="Arial"/>
          <w:b/>
          <w:sz w:val="24"/>
        </w:rPr>
        <w:t>Director's Declaration</w:t>
      </w:r>
    </w:p>
    <w:p>
      <w:pPr>
        <w:jc w:val="left"/>
      </w:pPr>
      <w:r>
        <w:rPr>
          <w:rFonts w:ascii="Arial" w:hAnsi="Arial"/>
          <w:b w:val="0"/>
          <w:sz w:val="18"/>
        </w:rPr>
        <w:t>The director has determined that ABC Holdings Pty Ltd is not a reporting entity. The director has determined that this special purpose financial statement should be prepared in accordance with the accounting policies described in Note 1 to the financial statements.</w:t>
      </w:r>
    </w:p>
    <w:p>
      <w:pPr>
        <w:jc w:val="left"/>
      </w:pPr>
      <w:r>
        <w:rPr>
          <w:rFonts w:ascii="Arial" w:hAnsi="Arial"/>
          <w:b w:val="0"/>
          <w:sz w:val="18"/>
        </w:rPr>
        <w:t>The director of the company declares that:</w:t>
      </w:r>
    </w:p>
    <w:p>
      <w:pPr>
        <w:jc w:val="left"/>
      </w:pPr>
      <w:r>
        <w:rPr>
          <w:rFonts w:ascii="Arial" w:hAnsi="Arial"/>
          <w:b w:val="0"/>
          <w:sz w:val="18"/>
        </w:rPr>
        <w:t>(i)  the financial statements and notes present fairly the company's financial position as at 30 June 2025 and its performance for the year ended on that date in accordance with the accounting policies described in Note 1 to the financial statements; and</w:t>
      </w:r>
    </w:p>
    <w:p>
      <w:pPr>
        <w:jc w:val="left"/>
      </w:pPr>
      <w:r>
        <w:rPr>
          <w:rFonts w:ascii="Arial" w:hAnsi="Arial"/>
          <w:b w:val="0"/>
          <w:sz w:val="18"/>
        </w:rPr>
        <w:t>(ii) in the director's opinion there are reasonable grounds to believe that the company will be able to pay its debts as and when they become due and payable.</w:t>
      </w:r>
    </w:p>
    <w:p>
      <w:pPr>
        <w:jc w:val="left"/>
      </w:pPr>
      <w:r>
        <w:rPr>
          <w:rFonts w:ascii="Arial" w:hAnsi="Arial"/>
          <w:b w:val="0"/>
          <w:sz w:val="18"/>
        </w:rPr>
      </w:r>
    </w:p>
    <w:p>
      <w:pPr>
        <w:jc w:val="left"/>
      </w:pPr>
      <w:r>
        <w:rPr>
          <w:rFonts w:ascii="Arial" w:hAnsi="Arial"/>
          <w:b w:val="0"/>
          <w:sz w:val="18"/>
        </w:rPr>
        <w:t>________________________________________</w:t>
      </w:r>
    </w:p>
    <w:p>
      <w:pPr>
        <w:jc w:val="left"/>
      </w:pPr>
      <w:r>
        <w:rPr>
          <w:rFonts w:ascii="Arial" w:hAnsi="Arial"/>
          <w:b/>
          <w:sz w:val="18"/>
        </w:rPr>
        <w:t>James Smith</w:t>
      </w:r>
    </w:p>
    <w:p>
      <w:pPr>
        <w:jc w:val="left"/>
      </w:pPr>
      <w:r>
        <w:rPr>
          <w:rFonts w:ascii="Arial" w:hAnsi="Arial"/>
          <w:b w:val="0"/>
          <w:sz w:val="18"/>
        </w:rPr>
        <w:t>Managing Director</w:t>
      </w:r>
    </w:p>
    <w:p>
      <w:pPr>
        <w:jc w:val="left"/>
      </w:pPr>
      <w:r>
        <w:rPr>
          <w:rFonts w:ascii="Arial" w:hAnsi="Arial"/>
          <w:b w:val="0"/>
          <w:sz w:val="18"/>
        </w:rPr>
      </w:r>
    </w:p>
    <w:p>
      <w:pPr>
        <w:jc w:val="left"/>
      </w:pPr>
      <w:r>
        <w:rPr>
          <w:rFonts w:ascii="Arial" w:hAnsi="Arial"/>
          <w:b w:val="0"/>
          <w:sz w:val="18"/>
        </w:rPr>
        <w:t>________________________________________</w:t>
      </w:r>
    </w:p>
    <w:p>
      <w:pPr>
        <w:jc w:val="left"/>
      </w:pPr>
      <w:r>
        <w:rPr>
          <w:rFonts w:ascii="Arial" w:hAnsi="Arial"/>
          <w:b/>
          <w:sz w:val="18"/>
        </w:rPr>
        <w:t>Sarah Johnson</w:t>
      </w:r>
    </w:p>
    <w:p>
      <w:pPr>
        <w:jc w:val="left"/>
      </w:pPr>
      <w:r>
        <w:rPr>
          <w:rFonts w:ascii="Arial" w:hAnsi="Arial"/>
          <w:b w:val="0"/>
          <w:sz w:val="18"/>
        </w:rPr>
        <w:t>Director</w:t>
      </w:r>
    </w:p>
    <w:p>
      <w:pPr>
        <w:jc w:val="left"/>
      </w:pPr>
      <w:r>
        <w:rPr>
          <w:rFonts w:ascii="Arial" w:hAnsi="Arial"/>
          <w:b w:val="0"/>
          <w:sz w:val="18"/>
        </w:rPr>
        <w:t>Dated: 16 February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