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spacing w:before="0" w:after="0"/>
        <w:jc w:val="center"/>
      </w:pPr>
      <w:r>
        <w:rPr>
          <w:rFonts w:ascii="Times New Roman" w:hAnsi="Times New Roman" w:eastAsia="Times New Roman"/>
          <w:b/>
          <w:i w:val="0"/>
          <w:sz w:val="40"/>
        </w:rPr>
        <w:t>Foothills Conference Centre Pty Ltd</w:t>
      </w:r>
    </w:p>
    <w:p>
      <w:pPr>
        <w:spacing w:before="0" w:after="240"/>
        <w:jc w:val="center"/>
      </w:pPr>
      <w:r>
        <w:rPr>
          <w:rFonts w:ascii="Times New Roman" w:hAnsi="Times New Roman" w:eastAsia="Times New Roman"/>
          <w:b w:val="0"/>
          <w:i w:val="0"/>
          <w:sz w:val="24"/>
        </w:rPr>
        <w:t>ABN 92 164 525 311</w:t>
      </w:r>
    </w:p>
    <w:p>
      <w:pPr>
        <w:spacing w:before="0" w:after="80"/>
        <w:jc w:val="center"/>
      </w:pPr>
      <w:r>
        <w:rPr>
          <w:rFonts w:ascii="Times New Roman" w:hAnsi="Times New Roman" w:eastAsia="Times New Roman"/>
          <w:b w:val="0"/>
          <w:i w:val="0"/>
          <w:sz w:val="32"/>
        </w:rPr>
        <w:t>Financial Statements</w:t>
      </w:r>
    </w:p>
    <w:p>
      <w:pPr>
        <w:spacing w:before="0" w:after="800"/>
        <w:jc w:val="center"/>
      </w:pPr>
      <w:r>
        <w:rPr>
          <w:rFonts w:ascii="Times New Roman" w:hAnsi="Times New Roman" w:eastAsia="Times New Roman"/>
          <w:b w:val="0"/>
          <w:i w:val="0"/>
          <w:sz w:val="24"/>
        </w:rPr>
        <w:t>For the year ended 30 June 2025</w:t>
      </w:r>
    </w:p>
    <w:p/>
    <w:p/>
    <w:p/>
    <w:p/>
    <w:p/>
    <w:p/>
    <w:p>
      <w:pPr>
        <w:spacing w:before="0" w:after="0"/>
        <w:jc w:val="center"/>
      </w:pPr>
      <w:r>
        <w:rPr>
          <w:rFonts w:ascii="Times New Roman" w:hAnsi="Times New Roman" w:eastAsia="Times New Roman"/>
          <w:b w:val="0"/>
          <w:i w:val="0"/>
          <w:sz w:val="20"/>
        </w:rPr>
        <w:t>M C &amp; S Pty Ltd</w:t>
      </w:r>
    </w:p>
    <w:p>
      <w:pPr>
        <w:spacing w:before="0" w:after="0"/>
        <w:jc w:val="center"/>
      </w:pPr>
      <w:r>
        <w:rPr>
          <w:rFonts w:ascii="Times New Roman" w:hAnsi="Times New Roman" w:eastAsia="Times New Roman"/>
          <w:b w:val="0"/>
          <w:i w:val="0"/>
          <w:sz w:val="20"/>
        </w:rPr>
        <w:t>PO Box 4440</w:t>
      </w:r>
    </w:p>
    <w:p>
      <w:pPr>
        <w:spacing w:before="0" w:after="0"/>
        <w:jc w:val="center"/>
      </w:pPr>
      <w:r>
        <w:rPr>
          <w:rFonts w:ascii="Times New Roman" w:hAnsi="Times New Roman" w:eastAsia="Times New Roman"/>
          <w:b w:val="0"/>
          <w:i w:val="0"/>
          <w:sz w:val="20"/>
        </w:rPr>
        <w:t>Dandenong South VIC 3164</w:t>
      </w:r>
    </w:p>
    <w:p>
      <w:pPr>
        <w:spacing w:before="0" w:after="0"/>
        <w:jc w:val="center"/>
      </w:pPr>
      <w:r>
        <w:rPr>
          <w:rFonts w:ascii="Times New Roman" w:hAnsi="Times New Roman" w:eastAsia="Times New Roman"/>
          <w:b w:val="0"/>
          <w:i w:val="0"/>
          <w:sz w:val="20"/>
        </w:rPr>
        <w:t>Phone: (03) 9794 0000</w:t>
      </w:r>
    </w:p>
    <w:p>
      <w:pPr>
        <w:spacing w:before="0" w:after="0"/>
        <w:jc w:val="center"/>
      </w:pPr>
      <w:r>
        <w:rPr>
          <w:rFonts w:ascii="Times New Roman" w:hAnsi="Times New Roman" w:eastAsia="Times New Roman"/>
          <w:b w:val="0"/>
          <w:i w:val="0"/>
          <w:sz w:val="20"/>
        </w:rPr>
        <w:t>Email: info@mcands.com.au</w:t>
      </w:r>
    </w:p>
    <w:p>
      <w:pPr>
        <w:spacing w:before="0" w:after="0"/>
        <w:jc w:val="center"/>
      </w:pPr>
      <w:r>
        <w:rPr>
          <w:rFonts w:ascii="Times New Roman" w:hAnsi="Times New Roman" w:eastAsia="Times New Roman"/>
          <w:b w:val="0"/>
          <w:i w:val="0"/>
          <w:sz w:val="20"/>
        </w:rPr>
        <w:t>Website: www.mcands.com.au</w:t>
      </w:r>
    </w:p>
    <w:p>
      <w:r>
        <w:br w:type="page"/>
      </w:r>
    </w:p>
    <w:p>
      <w:pPr>
        <w:spacing w:before="0" w:after="0"/>
        <w:jc w:val="center"/>
      </w:pPr>
      <w:r>
        <w:rPr>
          <w:rFonts w:ascii="Times New Roman" w:hAnsi="Times New Roman" w:eastAsia="Times New Roman"/>
          <w:b/>
          <w:i w:val="0"/>
          <w:sz w:val="28"/>
        </w:rPr>
        <w:t>Foothills Conference Centre Pty Ltd</w:t>
      </w:r>
    </w:p>
    <w:p>
      <w:pPr>
        <w:spacing w:before="0" w:after="240"/>
        <w:jc w:val="center"/>
      </w:pPr>
      <w:r>
        <w:rPr>
          <w:rFonts w:ascii="Times New Roman" w:hAnsi="Times New Roman" w:eastAsia="Times New Roman"/>
          <w:b/>
          <w:i w:val="0"/>
          <w:sz w:val="22"/>
        </w:rPr>
        <w:t>ABN 92 164 525 311</w:t>
      </w:r>
    </w:p>
    <w:p>
      <w:pPr>
        <w:spacing w:before="0" w:after="240"/>
        <w:jc w:val="left"/>
      </w:pPr>
      <w:r>
        <w:rPr>
          <w:rFonts w:ascii="Times New Roman" w:hAnsi="Times New Roman" w:eastAsia="Times New Roman"/>
          <w:b/>
          <w:i w:val="0"/>
          <w:sz w:val="28"/>
        </w:rPr>
        <w:t>Contents</w:t>
      </w:r>
    </w:p>
    <w:p>
      <w:pPr>
        <w:spacing w:before="0" w:after="120"/>
        <w:jc w:val="left"/>
      </w:pPr>
      <w:r>
        <w:rPr>
          <w:rFonts w:ascii="Times New Roman" w:hAnsi="Times New Roman" w:eastAsia="Times New Roman"/>
          <w:b w:val="0"/>
          <w:i w:val="0"/>
          <w:sz w:val="22"/>
          <w:u w:val="single"/>
        </w:rPr>
        <w:t>Compilation Report</w:t>
      </w:r>
    </w:p>
    <w:p>
      <w:pPr>
        <w:spacing w:before="0" w:after="120"/>
        <w:jc w:val="left"/>
      </w:pPr>
      <w:r>
        <w:rPr>
          <w:rFonts w:ascii="Times New Roman" w:hAnsi="Times New Roman" w:eastAsia="Times New Roman"/>
          <w:b w:val="0"/>
          <w:i w:val="0"/>
          <w:sz w:val="22"/>
          <w:u w:val="single"/>
        </w:rPr>
        <w:t>Trading Account</w:t>
      </w:r>
    </w:p>
    <w:p>
      <w:pPr>
        <w:spacing w:before="0" w:after="120"/>
        <w:jc w:val="left"/>
      </w:pPr>
      <w:r>
        <w:rPr>
          <w:rFonts w:ascii="Times New Roman" w:hAnsi="Times New Roman" w:eastAsia="Times New Roman"/>
          <w:b w:val="0"/>
          <w:i w:val="0"/>
          <w:sz w:val="22"/>
          <w:u w:val="single"/>
        </w:rPr>
        <w:t>Detailed Profit and Loss Statement</w:t>
      </w:r>
    </w:p>
    <w:p>
      <w:pPr>
        <w:spacing w:before="0" w:after="120"/>
        <w:jc w:val="left"/>
      </w:pPr>
      <w:r>
        <w:rPr>
          <w:rFonts w:ascii="Times New Roman" w:hAnsi="Times New Roman" w:eastAsia="Times New Roman"/>
          <w:b w:val="0"/>
          <w:i w:val="0"/>
          <w:sz w:val="22"/>
          <w:u w:val="single"/>
        </w:rPr>
        <w:t>Detailed Balance Sheet</w:t>
      </w:r>
    </w:p>
    <w:p>
      <w:pPr>
        <w:spacing w:before="0" w:after="120"/>
        <w:jc w:val="left"/>
      </w:pPr>
      <w:r>
        <w:rPr>
          <w:rFonts w:ascii="Times New Roman" w:hAnsi="Times New Roman" w:eastAsia="Times New Roman"/>
          <w:b w:val="0"/>
          <w:i w:val="0"/>
          <w:sz w:val="22"/>
          <w:u w:val="single"/>
        </w:rPr>
        <w:t>Profit and Loss Statement</w:t>
      </w:r>
    </w:p>
    <w:p>
      <w:pPr>
        <w:spacing w:before="0" w:after="120"/>
        <w:jc w:val="left"/>
      </w:pPr>
      <w:r>
        <w:rPr>
          <w:rFonts w:ascii="Times New Roman" w:hAnsi="Times New Roman" w:eastAsia="Times New Roman"/>
          <w:b w:val="0"/>
          <w:i w:val="0"/>
          <w:sz w:val="22"/>
          <w:u w:val="single"/>
        </w:rPr>
        <w:t>Depreciation Schedule</w:t>
      </w:r>
    </w:p>
    <w:p>
      <w:pPr>
        <w:spacing w:before="0" w:after="120"/>
        <w:jc w:val="left"/>
      </w:pPr>
      <w:r>
        <w:rPr>
          <w:rFonts w:ascii="Times New Roman" w:hAnsi="Times New Roman" w:eastAsia="Times New Roman"/>
          <w:b w:val="0"/>
          <w:i w:val="0"/>
          <w:sz w:val="22"/>
          <w:u w:val="single"/>
        </w:rPr>
        <w:t>Notes to the Financial Statements</w:t>
      </w:r>
    </w:p>
    <w:p>
      <w:pPr>
        <w:spacing w:before="0" w:after="120"/>
        <w:jc w:val="left"/>
      </w:pPr>
      <w:r>
        <w:rPr>
          <w:rFonts w:ascii="Times New Roman" w:hAnsi="Times New Roman" w:eastAsia="Times New Roman"/>
          <w:b w:val="0"/>
          <w:i w:val="0"/>
          <w:sz w:val="22"/>
          <w:u w:val="single"/>
        </w:rPr>
        <w:t>Director's Declaration</w:t>
      </w:r>
    </w:p>
    <w:p>
      <w:r>
        <w:br w:type="page"/>
      </w:r>
    </w:p>
    <w:p>
      <w:pPr>
        <w:spacing w:before="0" w:after="0"/>
        <w:jc w:val="center"/>
      </w:pPr>
      <w:r>
        <w:rPr>
          <w:rFonts w:ascii="Times New Roman" w:hAnsi="Times New Roman" w:eastAsia="Times New Roman"/>
          <w:b/>
          <w:i w:val="0"/>
          <w:sz w:val="28"/>
        </w:rPr>
        <w:t>Foothills Conference Centre Pty Ltd</w:t>
      </w:r>
    </w:p>
    <w:p>
      <w:pPr>
        <w:spacing w:before="0" w:after="0"/>
        <w:jc w:val="center"/>
      </w:pPr>
      <w:r>
        <w:rPr>
          <w:rFonts w:ascii="Times New Roman" w:hAnsi="Times New Roman" w:eastAsia="Times New Roman"/>
          <w:b/>
          <w:i w:val="0"/>
          <w:sz w:val="22"/>
        </w:rPr>
        <w:t>ABN 92 164 525 311</w:t>
      </w:r>
    </w:p>
    <w:p>
      <w:pPr>
        <w:spacing w:before="0" w:after="0"/>
        <w:jc w:val="center"/>
      </w:pPr>
      <w:r>
        <w:rPr>
          <w:rFonts w:ascii="Times New Roman" w:hAnsi="Times New Roman" w:eastAsia="Times New Roman"/>
          <w:b/>
          <w:i w:val="0"/>
          <w:sz w:val="24"/>
        </w:rPr>
        <w:t>Compilation Report to Foothills Conference Centre Pty Ltd</w:t>
      </w:r>
    </w:p>
    <w:p>
      <w:pPr>
        <w:spacing w:before="40" w:after="40"/>
        <w:pBdr>
          <w:bottom w:val="single" w:sz="12" w:space="1" w:color="000000"/>
        </w:pBdr>
      </w:pPr>
    </w:p>
    <w:p>
      <w:pPr>
        <w:spacing w:before="0" w:after="200"/>
        <w:jc w:val="both"/>
      </w:pPr>
      <w:r>
        <w:rPr>
          <w:rFonts w:ascii="Times New Roman" w:hAnsi="Times New Roman" w:eastAsia="Times New Roman"/>
          <w:b w:val="0"/>
          <w:i w:val="0"/>
          <w:sz w:val="20"/>
        </w:rPr>
        <w:t>We have compiled the accompanying special purpose financial statements of Foothills Conference Centre Pty Ltd, which comprise the balance sheet as at 30 June 2025, the Statement of Profit and Loss for the year then ended, a summary of significant accounting policies and other explanatory notes. The specific purpose for which the special purpose financial statements have been prepared is set out in Note 1 to the financial statements.</w:t>
      </w:r>
    </w:p>
    <w:p>
      <w:pPr>
        <w:spacing w:before="0" w:after="80"/>
        <w:jc w:val="left"/>
      </w:pPr>
      <w:r>
        <w:rPr>
          <w:rFonts w:ascii="Times New Roman" w:hAnsi="Times New Roman" w:eastAsia="Times New Roman"/>
          <w:b w:val="0"/>
          <w:i/>
          <w:sz w:val="20"/>
        </w:rPr>
        <w:t>The Responsibility of the Directors</w:t>
      </w:r>
    </w:p>
    <w:p>
      <w:pPr>
        <w:spacing w:before="0" w:after="200"/>
        <w:jc w:val="both"/>
      </w:pPr>
      <w:r>
        <w:rPr>
          <w:rFonts w:ascii="Times New Roman" w:hAnsi="Times New Roman" w:eastAsia="Times New Roman"/>
          <w:b w:val="0"/>
          <w:i w:val="0"/>
          <w:sz w:val="20"/>
        </w:rPr>
        <w:t>The directors of Foothills Conference Centre Pty Ltd is solely responsible for the information contained in the special purpose financial statements, the reliability, accuracy and completeness of the information and for the determination that the significant accounting policies used are appropriate to meet the needs and for the purpose that the financial statements were prepared.</w:t>
      </w:r>
    </w:p>
    <w:p>
      <w:pPr>
        <w:spacing w:before="0" w:after="80"/>
        <w:jc w:val="left"/>
      </w:pPr>
      <w:r>
        <w:rPr>
          <w:rFonts w:ascii="Times New Roman" w:hAnsi="Times New Roman" w:eastAsia="Times New Roman"/>
          <w:b w:val="0"/>
          <w:i/>
          <w:sz w:val="20"/>
        </w:rPr>
        <w:t>Our Responsibility</w:t>
      </w:r>
    </w:p>
    <w:p>
      <w:pPr>
        <w:spacing w:before="0" w:after="120"/>
        <w:jc w:val="both"/>
      </w:pPr>
      <w:r>
        <w:rPr>
          <w:rFonts w:ascii="Times New Roman" w:hAnsi="Times New Roman" w:eastAsia="Times New Roman"/>
          <w:b w:val="0"/>
          <w:i w:val="0"/>
          <w:sz w:val="20"/>
        </w:rPr>
        <w:t>On the basis of information provided by the director, we have compiled the accompanying special purpose financial statements in accordance with the significant accounting policies as described in Note 1 to the financial statements and APES 315 Compilation of Financial Information.</w:t>
      </w:r>
    </w:p>
    <w:p>
      <w:pPr>
        <w:spacing w:before="0" w:after="200"/>
        <w:jc w:val="both"/>
      </w:pPr>
      <w:r>
        <w:rPr>
          <w:rFonts w:ascii="Times New Roman" w:hAnsi="Times New Roman" w:eastAsia="Times New Roman"/>
          <w:b w:val="0"/>
          <w:i w:val="0"/>
          <w:sz w:val="20"/>
        </w:rPr>
        <w:t>We have applied our expertise in accounting and financial reporting to compile these financial statements in accordance with the significant accounting policies described in Note 1 to the financial statements. We have complied with the relevant ethical requirements of APES 110 Code of Ethics for Professional Accountants (including Independence Standards).</w:t>
      </w:r>
    </w:p>
    <w:p>
      <w:pPr>
        <w:spacing w:before="0" w:after="80"/>
        <w:jc w:val="left"/>
      </w:pPr>
      <w:r>
        <w:rPr>
          <w:rFonts w:ascii="Times New Roman" w:hAnsi="Times New Roman" w:eastAsia="Times New Roman"/>
          <w:b w:val="0"/>
          <w:i/>
          <w:sz w:val="20"/>
        </w:rPr>
        <w:t>Assurance Disclaimer</w:t>
      </w:r>
    </w:p>
    <w:p>
      <w:pPr>
        <w:spacing w:before="0" w:after="120"/>
        <w:jc w:val="both"/>
      </w:pPr>
      <w:r>
        <w:rPr>
          <w:rFonts w:ascii="Times New Roman" w:hAnsi="Times New Roman" w:eastAsia="Times New Roman"/>
          <w:b w:val="0"/>
          <w:i w:val="0"/>
          <w:sz w:val="20"/>
        </w:rPr>
        <w:t>Since a compilation engagement is not an assurance engagement, we are not required to verify the reliability, accuracy or completeness of the information provided to us by management to compile these financial statements. Accordingly, we do not express an audit opinion or a review conclusion on these financial statements.</w:t>
      </w:r>
    </w:p>
    <w:p>
      <w:pPr>
        <w:spacing w:before="0" w:after="400"/>
        <w:jc w:val="both"/>
      </w:pPr>
      <w:r>
        <w:rPr>
          <w:rFonts w:ascii="Times New Roman" w:hAnsi="Times New Roman" w:eastAsia="Times New Roman"/>
          <w:b w:val="0"/>
          <w:i w:val="0"/>
          <w:sz w:val="20"/>
        </w:rPr>
        <w:t>The special purpose financial statements were compiled exclusively for the benefit of the director who is responsible for the reliability, accuracy and completeness of the information used to compile them. Accordingly, these special purpose financial statements may not be suitable for other purposes. We do not accept responsibility for the contents of the special purpose financial statements.</w:t>
      </w:r>
    </w:p>
    <w:p>
      <w:pPr>
        <w:spacing w:after="400"/>
      </w:pPr>
    </w:p>
    <w:p>
      <w:pPr>
        <w:spacing w:before="0" w:after="0"/>
        <w:jc w:val="left"/>
      </w:pPr>
      <w:r>
        <w:rPr>
          <w:rFonts w:ascii="Times New Roman" w:hAnsi="Times New Roman" w:eastAsia="Times New Roman"/>
          <w:b w:val="0"/>
          <w:i w:val="0"/>
          <w:sz w:val="20"/>
        </w:rPr>
        <w:t>________________________________________</w:t>
      </w:r>
    </w:p>
    <w:p>
      <w:pPr>
        <w:spacing w:before="0" w:after="0"/>
        <w:jc w:val="left"/>
      </w:pPr>
      <w:r>
        <w:rPr>
          <w:rFonts w:ascii="Times New Roman" w:hAnsi="Times New Roman" w:eastAsia="Times New Roman"/>
          <w:b w:val="0"/>
          <w:i w:val="0"/>
          <w:sz w:val="20"/>
        </w:rPr>
        <w:t>M C &amp; S Pty Ltd</w:t>
      </w:r>
    </w:p>
    <w:p>
      <w:pPr>
        <w:spacing w:before="0" w:after="0"/>
        <w:jc w:val="left"/>
      </w:pPr>
      <w:r>
        <w:rPr>
          <w:rFonts w:ascii="Times New Roman" w:hAnsi="Times New Roman" w:eastAsia="Times New Roman"/>
          <w:b w:val="0"/>
          <w:i w:val="0"/>
          <w:sz w:val="20"/>
        </w:rPr>
        <w:t>PO Box 4440</w:t>
      </w:r>
    </w:p>
    <w:p>
      <w:pPr>
        <w:spacing w:before="0" w:after="120"/>
        <w:jc w:val="left"/>
      </w:pPr>
      <w:r>
        <w:rPr>
          <w:rFonts w:ascii="Times New Roman" w:hAnsi="Times New Roman" w:eastAsia="Times New Roman"/>
          <w:b w:val="0"/>
          <w:i w:val="0"/>
          <w:sz w:val="20"/>
        </w:rPr>
        <w:t>Dandenong South VIC 3164</w:t>
      </w:r>
    </w:p>
    <w:p>
      <w:pPr>
        <w:spacing w:before="0" w:after="40"/>
        <w:jc w:val="left"/>
      </w:pPr>
      <w:r>
        <w:rPr>
          <w:rFonts w:ascii="Times New Roman" w:hAnsi="Times New Roman" w:eastAsia="Times New Roman"/>
          <w:b w:val="0"/>
          <w:i w:val="0"/>
          <w:sz w:val="20"/>
        </w:rPr>
        <w:t>16 February, 2026</w:t>
      </w:r>
    </w:p>
    <w:p>
      <w:pPr>
        <w:spacing w:before="0" w:after="0"/>
        <w:jc w:val="center"/>
      </w:pPr>
      <w:r>
        <w:rPr>
          <w:rFonts w:ascii="Times New Roman" w:hAnsi="Times New Roman" w:eastAsia="Times New Roman"/>
          <w:b/>
          <w:i w:val="0"/>
          <w:sz w:val="28"/>
        </w:rPr>
        <w:t>Foothills Conference Centre Pty Ltd</w:t>
      </w:r>
    </w:p>
    <w:p>
      <w:pPr>
        <w:spacing w:before="0" w:after="0"/>
        <w:jc w:val="center"/>
      </w:pPr>
      <w:r>
        <w:rPr>
          <w:rFonts w:ascii="Times New Roman" w:hAnsi="Times New Roman" w:eastAsia="Times New Roman"/>
          <w:b/>
          <w:i w:val="0"/>
          <w:sz w:val="22"/>
        </w:rPr>
        <w:t>ABN 92 164 525 311</w:t>
      </w:r>
    </w:p>
    <w:p>
      <w:pPr>
        <w:spacing w:before="0" w:after="0"/>
        <w:jc w:val="center"/>
      </w:pPr>
      <w:r>
        <w:rPr>
          <w:rFonts w:ascii="Times New Roman" w:hAnsi="Times New Roman" w:eastAsia="Times New Roman"/>
          <w:b/>
          <w:i w:val="0"/>
          <w:sz w:val="24"/>
        </w:rPr>
        <w:t>Trading Account</w:t>
      </w:r>
    </w:p>
    <w:p>
      <w:pPr>
        <w:spacing w:before="0" w:after="40"/>
        <w:jc w:val="center"/>
      </w:pPr>
      <w:r>
        <w:rPr>
          <w:rFonts w:ascii="Times New Roman" w:hAnsi="Times New Roman" w:eastAsia="Times New Roman"/>
          <w:b/>
          <w:i w:val="0"/>
          <w:sz w:val="22"/>
        </w:rPr>
        <w:t>For the year ended 30 June 2025</w:t>
      </w:r>
    </w:p>
    <w:p>
      <w:pPr>
        <w:spacing w:before="40" w:after="40"/>
        <w:pBdr>
          <w:bottom w:val="single" w:sz="12" w:space="1" w:color="000000"/>
        </w:pBdr>
      </w:pPr>
    </w:p>
    <w:p>
      <w:pPr>
        <w:tabs>
          <w:tab w:pos="9071" w:val="right"/>
        </w:tabs>
        <w:spacing w:after="0"/>
      </w:pPr>
      <w:r>
        <w:rPr>
          <w:rFonts w:ascii="Times New Roman" w:hAnsi="Times New Roman" w:eastAsia="Times New Roman"/>
          <w:b/>
          <w:i w:val="0"/>
          <w:sz w:val="20"/>
        </w:rPr>
        <w:tab/>
        <w:t>2025</w:t>
      </w:r>
    </w:p>
    <w:p>
      <w:pPr>
        <w:tabs>
          <w:tab w:pos="9071" w:val="right"/>
        </w:tabs>
        <w:spacing w:after="0"/>
      </w:pPr>
      <w:r>
        <w:rPr>
          <w:rFonts w:ascii="Times New Roman" w:hAnsi="Times New Roman" w:eastAsia="Times New Roman"/>
          <w:b w:val="0"/>
          <w:i w:val="0"/>
          <w:sz w:val="20"/>
        </w:rPr>
        <w:tab/>
        <w:t>$</w:t>
      </w:r>
    </w:p>
    <w:p>
      <w:pPr>
        <w:spacing w:before="40" w:after="40"/>
        <w:pBdr>
          <w:bottom w:val="single" w:sz="12" w:space="1" w:color="000000"/>
        </w:pBdr>
      </w:pPr>
    </w:p>
    <w:p>
      <w:pPr>
        <w:tabs>
          <w:tab w:pos="6803" w:val="right"/>
          <w:tab w:pos="9071" w:val="right"/>
        </w:tabs>
        <w:spacing w:before="160" w:after="80"/>
      </w:pPr>
      <w:r>
        <w:rPr>
          <w:rFonts w:ascii="Times New Roman" w:hAnsi="Times New Roman" w:eastAsia="Times New Roman"/>
          <w:b/>
          <w:i w:val="0"/>
          <w:sz w:val="24"/>
        </w:rPr>
        <w:t>Trading Income</w:t>
      </w:r>
    </w:p>
    <w:p>
      <w:pPr>
        <w:tabs>
          <w:tab w:pos="6803" w:val="right"/>
          <w:tab w:pos="9071" w:val="right"/>
        </w:tabs>
        <w:spacing w:before="20" w:after="20"/>
        <w:ind w:left="283"/>
      </w:pPr>
      <w:r>
        <w:rPr>
          <w:rFonts w:ascii="Times New Roman" w:hAnsi="Times New Roman" w:eastAsia="Times New Roman"/>
          <w:b w:val="0"/>
          <w:i w:val="0"/>
          <w:sz w:val="20"/>
        </w:rPr>
        <w:t>Accomodation Income</w:t>
      </w:r>
      <w:r>
        <w:rPr>
          <w:rFonts w:ascii="Times New Roman" w:hAnsi="Times New Roman" w:eastAsia="Times New Roman"/>
          <w:b w:val="0"/>
          <w:i w:val="0"/>
          <w:sz w:val="20"/>
        </w:rPr>
        <w:tab/>
        <w:t>1,485,556</w:t>
      </w:r>
    </w:p>
    <w:p>
      <w:pPr>
        <w:tabs>
          <w:tab w:pos="6803" w:val="right"/>
          <w:tab w:pos="9071" w:val="right"/>
        </w:tabs>
        <w:spacing w:before="20" w:after="20"/>
        <w:ind w:left="283"/>
      </w:pPr>
      <w:r>
        <w:rPr>
          <w:rFonts w:ascii="Times New Roman" w:hAnsi="Times New Roman" w:eastAsia="Times New Roman"/>
          <w:b w:val="0"/>
          <w:i w:val="0"/>
          <w:sz w:val="20"/>
        </w:rPr>
        <w:t>Conference Income</w:t>
      </w:r>
      <w:r>
        <w:rPr>
          <w:rFonts w:ascii="Times New Roman" w:hAnsi="Times New Roman" w:eastAsia="Times New Roman"/>
          <w:b w:val="0"/>
          <w:i w:val="0"/>
          <w:sz w:val="20"/>
        </w:rPr>
        <w:tab/>
        <w:t>212,734</w:t>
      </w:r>
    </w:p>
    <w:p>
      <w:pPr>
        <w:tabs>
          <w:tab w:pos="6803" w:val="right"/>
          <w:tab w:pos="9071" w:val="right"/>
        </w:tabs>
        <w:spacing w:before="20" w:after="20"/>
        <w:ind w:left="283"/>
      </w:pPr>
      <w:r>
        <w:rPr>
          <w:rFonts w:ascii="Times New Roman" w:hAnsi="Times New Roman" w:eastAsia="Times New Roman"/>
          <w:b w:val="0"/>
          <w:i w:val="0"/>
          <w:sz w:val="20"/>
        </w:rPr>
        <w:t>Meals Income</w:t>
      </w:r>
      <w:r>
        <w:rPr>
          <w:rFonts w:ascii="Times New Roman" w:hAnsi="Times New Roman" w:eastAsia="Times New Roman"/>
          <w:b w:val="0"/>
          <w:i w:val="0"/>
          <w:sz w:val="20"/>
        </w:rPr>
        <w:tab/>
        <w:t>976,249</w:t>
      </w:r>
    </w:p>
    <w:p>
      <w:pPr>
        <w:tabs>
          <w:tab w:pos="6803" w:val="right"/>
          <w:tab w:pos="9071" w:val="right"/>
        </w:tabs>
        <w:spacing w:before="20" w:after="20"/>
        <w:ind w:left="283"/>
      </w:pPr>
      <w:r>
        <w:rPr>
          <w:rFonts w:ascii="Times New Roman" w:hAnsi="Times New Roman" w:eastAsia="Times New Roman"/>
          <w:b w:val="0"/>
          <w:i w:val="0"/>
          <w:sz w:val="20"/>
        </w:rPr>
        <w:t>Bar Takings Income</w:t>
      </w:r>
      <w:r>
        <w:rPr>
          <w:rFonts w:ascii="Times New Roman" w:hAnsi="Times New Roman" w:eastAsia="Times New Roman"/>
          <w:b w:val="0"/>
          <w:i w:val="0"/>
          <w:sz w:val="20"/>
        </w:rPr>
        <w:tab/>
        <w:t>49,775</w:t>
      </w:r>
    </w:p>
    <w:p>
      <w:pPr>
        <w:tabs>
          <w:tab w:pos="6803" w:val="right"/>
          <w:tab w:pos="9071" w:val="right"/>
        </w:tabs>
        <w:spacing w:before="20" w:after="20"/>
      </w:pPr>
      <w:r>
        <w:rPr>
          <w:rFonts w:ascii="Times New Roman" w:hAnsi="Times New Roman" w:eastAsia="Times New Roman"/>
          <w:b w:val="0"/>
          <w:i w:val="0"/>
          <w:sz w:val="20"/>
        </w:rPr>
        <w:t>Total Trading Income</w:t>
      </w:r>
      <w:r>
        <w:rPr>
          <w:rFonts w:ascii="Times New Roman" w:hAnsi="Times New Roman" w:eastAsia="Times New Roman"/>
          <w:b w:val="0"/>
          <w:i w:val="0"/>
          <w:sz w:val="20"/>
        </w:rPr>
        <w:tab/>
        <w:t>2,724,313</w:t>
      </w:r>
    </w:p>
    <w:p>
      <w:pPr>
        <w:spacing w:after="80"/>
      </w:pPr>
    </w:p>
    <w:p>
      <w:pPr>
        <w:tabs>
          <w:tab w:pos="6803" w:val="right"/>
          <w:tab w:pos="9071" w:val="right"/>
        </w:tabs>
        <w:spacing w:before="160" w:after="80"/>
      </w:pPr>
      <w:r>
        <w:rPr>
          <w:rFonts w:ascii="Times New Roman" w:hAnsi="Times New Roman" w:eastAsia="Times New Roman"/>
          <w:b/>
          <w:i w:val="0"/>
          <w:sz w:val="24"/>
        </w:rPr>
        <w:t>Cost of Sales</w:t>
      </w:r>
    </w:p>
    <w:p>
      <w:pPr>
        <w:spacing w:before="0" w:after="40"/>
        <w:jc w:val="left"/>
      </w:pPr>
      <w:r>
        <w:rPr>
          <w:rFonts w:ascii="Times New Roman" w:hAnsi="Times New Roman" w:eastAsia="Times New Roman"/>
          <w:b w:val="0"/>
          <w:i w:val="0"/>
          <w:sz w:val="20"/>
        </w:rPr>
        <w:t>Add:</w:t>
      </w:r>
    </w:p>
    <w:p>
      <w:pPr>
        <w:tabs>
          <w:tab w:pos="6803" w:val="right"/>
          <w:tab w:pos="9071" w:val="right"/>
        </w:tabs>
        <w:spacing w:before="20" w:after="20"/>
        <w:ind w:left="283"/>
      </w:pPr>
      <w:r>
        <w:rPr>
          <w:rFonts w:ascii="Times New Roman" w:hAnsi="Times New Roman" w:eastAsia="Times New Roman"/>
          <w:b w:val="0"/>
          <w:i w:val="0"/>
          <w:sz w:val="20"/>
        </w:rPr>
        <w:t>Opening Stock</w:t>
      </w:r>
      <w:r>
        <w:rPr>
          <w:rFonts w:ascii="Times New Roman" w:hAnsi="Times New Roman" w:eastAsia="Times New Roman"/>
          <w:b w:val="0"/>
          <w:i w:val="0"/>
          <w:sz w:val="20"/>
        </w:rPr>
        <w:tab/>
        <w:t>27,214</w:t>
      </w:r>
    </w:p>
    <w:p>
      <w:pPr>
        <w:tabs>
          <w:tab w:pos="6803" w:val="right"/>
          <w:tab w:pos="9071" w:val="right"/>
        </w:tabs>
        <w:spacing w:before="20" w:after="20"/>
        <w:ind w:left="283"/>
      </w:pPr>
      <w:r>
        <w:rPr>
          <w:rFonts w:ascii="Times New Roman" w:hAnsi="Times New Roman" w:eastAsia="Times New Roman"/>
          <w:b w:val="0"/>
          <w:i w:val="0"/>
          <w:sz w:val="20"/>
        </w:rPr>
        <w:t>Accomodation Commission</w:t>
      </w:r>
      <w:r>
        <w:rPr>
          <w:rFonts w:ascii="Times New Roman" w:hAnsi="Times New Roman" w:eastAsia="Times New Roman"/>
          <w:b w:val="0"/>
          <w:i w:val="0"/>
          <w:sz w:val="20"/>
        </w:rPr>
        <w:tab/>
        <w:t>22,119</w:t>
      </w:r>
    </w:p>
    <w:p>
      <w:pPr>
        <w:tabs>
          <w:tab w:pos="6803" w:val="right"/>
          <w:tab w:pos="9071" w:val="right"/>
        </w:tabs>
        <w:spacing w:before="20" w:after="20"/>
        <w:ind w:left="283"/>
      </w:pPr>
      <w:r>
        <w:rPr>
          <w:rFonts w:ascii="Times New Roman" w:hAnsi="Times New Roman" w:eastAsia="Times New Roman"/>
          <w:b w:val="0"/>
          <w:i w:val="0"/>
          <w:sz w:val="20"/>
        </w:rPr>
        <w:t>Food</w:t>
      </w:r>
      <w:r>
        <w:rPr>
          <w:rFonts w:ascii="Times New Roman" w:hAnsi="Times New Roman" w:eastAsia="Times New Roman"/>
          <w:b w:val="0"/>
          <w:i w:val="0"/>
          <w:sz w:val="20"/>
        </w:rPr>
        <w:tab/>
        <w:t>271,493</w:t>
      </w:r>
    </w:p>
    <w:p>
      <w:pPr>
        <w:tabs>
          <w:tab w:pos="6803" w:val="right"/>
          <w:tab w:pos="9071" w:val="right"/>
        </w:tabs>
        <w:spacing w:before="20" w:after="20"/>
        <w:ind w:left="283"/>
      </w:pPr>
      <w:r>
        <w:rPr>
          <w:rFonts w:ascii="Times New Roman" w:hAnsi="Times New Roman" w:eastAsia="Times New Roman"/>
          <w:b w:val="0"/>
          <w:i w:val="0"/>
          <w:sz w:val="20"/>
        </w:rPr>
        <w:t>Bar</w:t>
      </w:r>
      <w:r>
        <w:rPr>
          <w:rFonts w:ascii="Times New Roman" w:hAnsi="Times New Roman" w:eastAsia="Times New Roman"/>
          <w:b w:val="0"/>
          <w:i w:val="0"/>
          <w:sz w:val="20"/>
        </w:rPr>
        <w:tab/>
        <w:t>21,635</w:t>
      </w:r>
    </w:p>
    <w:p>
      <w:pPr>
        <w:spacing w:before="0" w:after="40"/>
        <w:jc w:val="left"/>
      </w:pPr>
      <w:r>
        <w:rPr>
          <w:rFonts w:ascii="Times New Roman" w:hAnsi="Times New Roman" w:eastAsia="Times New Roman"/>
          <w:b w:val="0"/>
          <w:i w:val="0"/>
          <w:sz w:val="20"/>
        </w:rPr>
        <w:t>Less:</w:t>
      </w:r>
    </w:p>
    <w:p>
      <w:pPr>
        <w:tabs>
          <w:tab w:pos="6803" w:val="right"/>
          <w:tab w:pos="9071" w:val="right"/>
        </w:tabs>
        <w:spacing w:before="20" w:after="20"/>
        <w:ind w:left="283"/>
      </w:pPr>
      <w:r>
        <w:rPr>
          <w:rFonts w:ascii="Times New Roman" w:hAnsi="Times New Roman" w:eastAsia="Times New Roman"/>
          <w:b w:val="0"/>
          <w:i w:val="0"/>
          <w:sz w:val="20"/>
        </w:rPr>
        <w:t>Closing Stock</w:t>
      </w:r>
      <w:r>
        <w:rPr>
          <w:rFonts w:ascii="Times New Roman" w:hAnsi="Times New Roman" w:eastAsia="Times New Roman"/>
          <w:b w:val="0"/>
          <w:i w:val="0"/>
          <w:sz w:val="20"/>
        </w:rPr>
        <w:tab/>
        <w:t>20,806</w:t>
      </w:r>
    </w:p>
    <w:p>
      <w:pPr>
        <w:tabs>
          <w:tab w:pos="6803" w:val="right"/>
          <w:tab w:pos="9071" w:val="right"/>
        </w:tabs>
        <w:spacing w:before="20" w:after="20"/>
      </w:pPr>
      <w:r>
        <w:rPr>
          <w:rFonts w:ascii="Times New Roman" w:hAnsi="Times New Roman" w:eastAsia="Times New Roman"/>
          <w:b w:val="0"/>
          <w:i w:val="0"/>
          <w:sz w:val="20"/>
        </w:rPr>
        <w:t>Cost of Sales</w:t>
      </w:r>
      <w:r>
        <w:rPr>
          <w:rFonts w:ascii="Times New Roman" w:hAnsi="Times New Roman" w:eastAsia="Times New Roman"/>
          <w:b w:val="0"/>
          <w:i w:val="0"/>
          <w:sz w:val="20"/>
        </w:rPr>
        <w:tab/>
        <w:t>321,654</w:t>
      </w:r>
    </w:p>
    <w:p>
      <w:pPr>
        <w:spacing w:after="80"/>
      </w:pPr>
    </w:p>
    <w:p>
      <w:pPr>
        <w:tabs>
          <w:tab w:pos="6803" w:val="right"/>
          <w:tab w:pos="9071" w:val="right"/>
        </w:tabs>
        <w:spacing w:before="20" w:after="20"/>
      </w:pPr>
      <w:r>
        <w:rPr>
          <w:rFonts w:ascii="Times New Roman" w:hAnsi="Times New Roman" w:eastAsia="Times New Roman"/>
          <w:b/>
          <w:i w:val="0"/>
          <w:sz w:val="20"/>
        </w:rPr>
        <w:t>Gross Profit from Trading</w:t>
      </w:r>
      <w:r>
        <w:rPr>
          <w:rFonts w:ascii="Times New Roman" w:hAnsi="Times New Roman" w:eastAsia="Times New Roman"/>
          <w:b/>
          <w:i w:val="0"/>
          <w:sz w:val="20"/>
        </w:rPr>
        <w:tab/>
        <w:t>2,402,659</w:t>
      </w:r>
    </w:p>
    <w:p>
      <w:pPr>
        <w:spacing w:before="40" w:after="40"/>
        <w:pBdr>
          <w:bottom w:val="single" w:sz="12" w:space="1" w:color="000000"/>
        </w:pBdr>
      </w:pPr>
    </w:p>
    <w:p>
      <w:pPr>
        <w:spacing w:before="0" w:after="40"/>
        <w:jc w:val="center"/>
      </w:pPr>
      <w:r>
        <w:rPr>
          <w:rFonts w:ascii="Times New Roman" w:hAnsi="Times New Roman" w:eastAsia="Times New Roman"/>
          <w:b/>
          <w:i w:val="0"/>
          <w:sz w:val="16"/>
        </w:rPr>
        <w:t>These financial statements are unaudited. They must be read in conjunction with the attached Accountant's Compilation Report and Notes which form part of these financial statements.</w:t>
      </w:r>
    </w:p>
    <w:p>
      <w:r>
        <w:br w:type="page"/>
      </w:r>
    </w:p>
    <w:p>
      <w:pPr>
        <w:spacing w:before="0" w:after="0"/>
        <w:jc w:val="center"/>
      </w:pPr>
      <w:r>
        <w:rPr>
          <w:rFonts w:ascii="Times New Roman" w:hAnsi="Times New Roman" w:eastAsia="Times New Roman"/>
          <w:b/>
          <w:i w:val="0"/>
          <w:sz w:val="28"/>
        </w:rPr>
        <w:t>Foothills Conference Centre Pty Ltd</w:t>
      </w:r>
    </w:p>
    <w:p>
      <w:pPr>
        <w:spacing w:before="0" w:after="0"/>
        <w:jc w:val="center"/>
      </w:pPr>
      <w:r>
        <w:rPr>
          <w:rFonts w:ascii="Times New Roman" w:hAnsi="Times New Roman" w:eastAsia="Times New Roman"/>
          <w:b/>
          <w:i w:val="0"/>
          <w:sz w:val="22"/>
        </w:rPr>
        <w:t>ABN 92 164 525 311</w:t>
      </w:r>
    </w:p>
    <w:p>
      <w:pPr>
        <w:spacing w:before="0" w:after="0"/>
        <w:jc w:val="center"/>
      </w:pPr>
      <w:r>
        <w:rPr>
          <w:rFonts w:ascii="Times New Roman" w:hAnsi="Times New Roman" w:eastAsia="Times New Roman"/>
          <w:b/>
          <w:i w:val="0"/>
          <w:sz w:val="24"/>
        </w:rPr>
        <w:t>Detailed Profit and Loss Statement</w:t>
      </w:r>
    </w:p>
    <w:p>
      <w:pPr>
        <w:spacing w:before="0" w:after="40"/>
        <w:jc w:val="center"/>
      </w:pPr>
      <w:r>
        <w:rPr>
          <w:rFonts w:ascii="Times New Roman" w:hAnsi="Times New Roman" w:eastAsia="Times New Roman"/>
          <w:b/>
          <w:i w:val="0"/>
          <w:sz w:val="22"/>
        </w:rPr>
        <w:t>For the year ended 30 June 2025</w:t>
      </w:r>
    </w:p>
    <w:p>
      <w:pPr>
        <w:spacing w:before="40" w:after="40"/>
        <w:pBdr>
          <w:bottom w:val="single" w:sz="12" w:space="1" w:color="000000"/>
        </w:pBdr>
      </w:pPr>
    </w:p>
    <w:p>
      <w:pPr>
        <w:tabs>
          <w:tab w:pos="9071" w:val="right"/>
        </w:tabs>
        <w:spacing w:after="0"/>
      </w:pPr>
      <w:r>
        <w:rPr>
          <w:rFonts w:ascii="Times New Roman" w:hAnsi="Times New Roman" w:eastAsia="Times New Roman"/>
          <w:b/>
          <w:i w:val="0"/>
          <w:sz w:val="20"/>
        </w:rPr>
        <w:tab/>
        <w:t>2025</w:t>
      </w:r>
    </w:p>
    <w:p>
      <w:pPr>
        <w:tabs>
          <w:tab w:pos="9071" w:val="right"/>
        </w:tabs>
        <w:spacing w:after="0"/>
      </w:pPr>
      <w:r>
        <w:rPr>
          <w:rFonts w:ascii="Times New Roman" w:hAnsi="Times New Roman" w:eastAsia="Times New Roman"/>
          <w:b w:val="0"/>
          <w:i w:val="0"/>
          <w:sz w:val="20"/>
        </w:rPr>
        <w:tab/>
        <w:t>$</w:t>
      </w:r>
    </w:p>
    <w:p>
      <w:pPr>
        <w:spacing w:before="40" w:after="40"/>
        <w:pBdr>
          <w:bottom w:val="single" w:sz="12" w:space="1" w:color="000000"/>
        </w:pBdr>
      </w:pPr>
    </w:p>
    <w:p>
      <w:pPr>
        <w:tabs>
          <w:tab w:pos="6803" w:val="right"/>
          <w:tab w:pos="9071" w:val="right"/>
        </w:tabs>
        <w:spacing w:before="160" w:after="80"/>
      </w:pPr>
      <w:r>
        <w:rPr>
          <w:rFonts w:ascii="Times New Roman" w:hAnsi="Times New Roman" w:eastAsia="Times New Roman"/>
          <w:b/>
          <w:i w:val="0"/>
          <w:sz w:val="24"/>
        </w:rPr>
        <w:t>Income</w:t>
      </w:r>
    </w:p>
    <w:p>
      <w:pPr>
        <w:tabs>
          <w:tab w:pos="6803" w:val="right"/>
          <w:tab w:pos="9071" w:val="right"/>
        </w:tabs>
        <w:spacing w:before="20" w:after="20"/>
        <w:ind w:left="283"/>
      </w:pPr>
      <w:r>
        <w:rPr>
          <w:rFonts w:ascii="Times New Roman" w:hAnsi="Times New Roman" w:eastAsia="Times New Roman"/>
          <w:b w:val="0"/>
          <w:i w:val="0"/>
          <w:sz w:val="20"/>
        </w:rPr>
        <w:t>Trading profit</w:t>
      </w:r>
      <w:r>
        <w:rPr>
          <w:rFonts w:ascii="Times New Roman" w:hAnsi="Times New Roman" w:eastAsia="Times New Roman"/>
          <w:b w:val="0"/>
          <w:i w:val="0"/>
          <w:sz w:val="20"/>
        </w:rPr>
        <w:tab/>
        <w:t>2,402,659</w:t>
      </w:r>
    </w:p>
    <w:p>
      <w:pPr>
        <w:tabs>
          <w:tab w:pos="6803" w:val="right"/>
          <w:tab w:pos="9071" w:val="right"/>
        </w:tabs>
        <w:spacing w:before="20" w:after="20"/>
        <w:ind w:left="283"/>
      </w:pPr>
      <w:r>
        <w:rPr>
          <w:rFonts w:ascii="Times New Roman" w:hAnsi="Times New Roman" w:eastAsia="Times New Roman"/>
          <w:b w:val="0"/>
          <w:i w:val="0"/>
          <w:sz w:val="20"/>
        </w:rPr>
        <w:t>Interest received</w:t>
      </w:r>
      <w:r>
        <w:rPr>
          <w:rFonts w:ascii="Times New Roman" w:hAnsi="Times New Roman" w:eastAsia="Times New Roman"/>
          <w:b w:val="0"/>
          <w:i w:val="0"/>
          <w:sz w:val="20"/>
        </w:rPr>
        <w:tab/>
        <w:t>-</w:t>
      </w:r>
    </w:p>
    <w:p>
      <w:pPr>
        <w:tabs>
          <w:tab w:pos="6803" w:val="right"/>
          <w:tab w:pos="9071" w:val="right"/>
        </w:tabs>
        <w:spacing w:before="20" w:after="20"/>
        <w:ind w:left="283"/>
      </w:pPr>
      <w:r>
        <w:rPr>
          <w:rFonts w:ascii="Times New Roman" w:hAnsi="Times New Roman" w:eastAsia="Times New Roman"/>
          <w:b w:val="0"/>
          <w:i w:val="0"/>
          <w:sz w:val="20"/>
        </w:rPr>
        <w:t>Other income</w:t>
      </w:r>
      <w:r>
        <w:rPr>
          <w:rFonts w:ascii="Times New Roman" w:hAnsi="Times New Roman" w:eastAsia="Times New Roman"/>
          <w:b w:val="0"/>
          <w:i w:val="0"/>
          <w:sz w:val="20"/>
        </w:rPr>
        <w:tab/>
        <w:t>3,538</w:t>
      </w:r>
    </w:p>
    <w:p>
      <w:pPr>
        <w:tabs>
          <w:tab w:pos="6803" w:val="right"/>
          <w:tab w:pos="9071" w:val="right"/>
        </w:tabs>
        <w:spacing w:before="20" w:after="20"/>
        <w:ind w:left="283"/>
      </w:pPr>
      <w:r>
        <w:rPr>
          <w:rFonts w:ascii="Times New Roman" w:hAnsi="Times New Roman" w:eastAsia="Times New Roman"/>
          <w:b w:val="0"/>
          <w:i w:val="0"/>
          <w:sz w:val="20"/>
        </w:rPr>
        <w:t>FBT Employee Contribution</w:t>
      </w:r>
      <w:r>
        <w:rPr>
          <w:rFonts w:ascii="Times New Roman" w:hAnsi="Times New Roman" w:eastAsia="Times New Roman"/>
          <w:b w:val="0"/>
          <w:i w:val="0"/>
          <w:sz w:val="20"/>
        </w:rPr>
        <w:tab/>
        <w:t>4,545</w:t>
      </w:r>
    </w:p>
    <w:p>
      <w:pPr>
        <w:tabs>
          <w:tab w:pos="6803" w:val="right"/>
          <w:tab w:pos="9071" w:val="right"/>
        </w:tabs>
        <w:spacing w:before="20" w:after="20"/>
      </w:pPr>
      <w:r>
        <w:rPr>
          <w:rFonts w:ascii="Times New Roman" w:hAnsi="Times New Roman" w:eastAsia="Times New Roman"/>
          <w:b w:val="0"/>
          <w:i w:val="0"/>
          <w:sz w:val="20"/>
        </w:rPr>
        <w:t>Total income</w:t>
      </w:r>
      <w:r>
        <w:rPr>
          <w:rFonts w:ascii="Times New Roman" w:hAnsi="Times New Roman" w:eastAsia="Times New Roman"/>
          <w:b w:val="0"/>
          <w:i w:val="0"/>
          <w:sz w:val="20"/>
        </w:rPr>
        <w:tab/>
        <w:t>2,410,743</w:t>
      </w:r>
    </w:p>
    <w:p>
      <w:pPr>
        <w:spacing w:after="80"/>
      </w:pPr>
    </w:p>
    <w:p>
      <w:pPr>
        <w:tabs>
          <w:tab w:pos="6803" w:val="right"/>
          <w:tab w:pos="9071" w:val="right"/>
        </w:tabs>
        <w:spacing w:before="160" w:after="80"/>
      </w:pPr>
      <w:r>
        <w:rPr>
          <w:rFonts w:ascii="Times New Roman" w:hAnsi="Times New Roman" w:eastAsia="Times New Roman"/>
          <w:b/>
          <w:i w:val="0"/>
          <w:sz w:val="24"/>
        </w:rPr>
        <w:t>Expenses</w:t>
      </w:r>
    </w:p>
    <w:p>
      <w:pPr>
        <w:tabs>
          <w:tab w:pos="6803" w:val="right"/>
          <w:tab w:pos="9071" w:val="right"/>
        </w:tabs>
        <w:spacing w:before="20" w:after="20"/>
        <w:ind w:left="283"/>
      </w:pPr>
      <w:r>
        <w:rPr>
          <w:rFonts w:ascii="Times New Roman" w:hAnsi="Times New Roman" w:eastAsia="Times New Roman"/>
          <w:b w:val="0"/>
          <w:i w:val="0"/>
          <w:sz w:val="20"/>
        </w:rPr>
        <w:t>Accountancy</w:t>
      </w:r>
      <w:r>
        <w:rPr>
          <w:rFonts w:ascii="Times New Roman" w:hAnsi="Times New Roman" w:eastAsia="Times New Roman"/>
          <w:b w:val="0"/>
          <w:i w:val="0"/>
          <w:sz w:val="20"/>
        </w:rPr>
        <w:tab/>
        <w:t>4,449</w:t>
      </w:r>
    </w:p>
    <w:p>
      <w:pPr>
        <w:tabs>
          <w:tab w:pos="6803" w:val="right"/>
          <w:tab w:pos="9071" w:val="right"/>
        </w:tabs>
        <w:spacing w:before="20" w:after="20"/>
        <w:ind w:left="283"/>
      </w:pPr>
      <w:r>
        <w:rPr>
          <w:rFonts w:ascii="Times New Roman" w:hAnsi="Times New Roman" w:eastAsia="Times New Roman"/>
          <w:b w:val="0"/>
          <w:i w:val="0"/>
          <w:sz w:val="20"/>
        </w:rPr>
        <w:t>Admin Fees</w:t>
      </w:r>
      <w:r>
        <w:rPr>
          <w:rFonts w:ascii="Times New Roman" w:hAnsi="Times New Roman" w:eastAsia="Times New Roman"/>
          <w:b w:val="0"/>
          <w:i w:val="0"/>
          <w:sz w:val="20"/>
        </w:rPr>
        <w:tab/>
        <w:t>-</w:t>
      </w:r>
    </w:p>
    <w:p>
      <w:pPr>
        <w:tabs>
          <w:tab w:pos="6803" w:val="right"/>
          <w:tab w:pos="9071" w:val="right"/>
        </w:tabs>
        <w:spacing w:before="20" w:after="20"/>
        <w:ind w:left="283"/>
      </w:pPr>
      <w:r>
        <w:rPr>
          <w:rFonts w:ascii="Times New Roman" w:hAnsi="Times New Roman" w:eastAsia="Times New Roman"/>
          <w:b w:val="0"/>
          <w:i w:val="0"/>
          <w:sz w:val="20"/>
        </w:rPr>
        <w:t>Advertising &amp; promotion</w:t>
      </w:r>
      <w:r>
        <w:rPr>
          <w:rFonts w:ascii="Times New Roman" w:hAnsi="Times New Roman" w:eastAsia="Times New Roman"/>
          <w:b w:val="0"/>
          <w:i w:val="0"/>
          <w:sz w:val="20"/>
        </w:rPr>
        <w:tab/>
        <w:t>11,533</w:t>
      </w:r>
    </w:p>
    <w:p>
      <w:pPr>
        <w:tabs>
          <w:tab w:pos="6803" w:val="right"/>
          <w:tab w:pos="9071" w:val="right"/>
        </w:tabs>
        <w:spacing w:before="20" w:after="20"/>
        <w:ind w:left="283"/>
      </w:pPr>
      <w:r>
        <w:rPr>
          <w:rFonts w:ascii="Times New Roman" w:hAnsi="Times New Roman" w:eastAsia="Times New Roman"/>
          <w:b w:val="0"/>
          <w:i w:val="0"/>
          <w:sz w:val="20"/>
        </w:rPr>
        <w:t>Bank fees &amp; charges</w:t>
      </w:r>
      <w:r>
        <w:rPr>
          <w:rFonts w:ascii="Times New Roman" w:hAnsi="Times New Roman" w:eastAsia="Times New Roman"/>
          <w:b w:val="0"/>
          <w:i w:val="0"/>
          <w:sz w:val="20"/>
        </w:rPr>
        <w:tab/>
        <w:t>12,131</w:t>
      </w:r>
    </w:p>
    <w:p>
      <w:pPr>
        <w:tabs>
          <w:tab w:pos="6803" w:val="right"/>
          <w:tab w:pos="9071" w:val="right"/>
        </w:tabs>
        <w:spacing w:before="20" w:after="20"/>
        <w:ind w:left="283"/>
      </w:pPr>
      <w:r>
        <w:rPr>
          <w:rFonts w:ascii="Times New Roman" w:hAnsi="Times New Roman" w:eastAsia="Times New Roman"/>
          <w:b w:val="0"/>
          <w:i w:val="0"/>
          <w:sz w:val="20"/>
        </w:rPr>
        <w:t>Bookkeeping</w:t>
      </w:r>
      <w:r>
        <w:rPr>
          <w:rFonts w:ascii="Times New Roman" w:hAnsi="Times New Roman" w:eastAsia="Times New Roman"/>
          <w:b w:val="0"/>
          <w:i w:val="0"/>
          <w:sz w:val="20"/>
        </w:rPr>
        <w:tab/>
        <w:t>-</w:t>
      </w:r>
    </w:p>
    <w:p>
      <w:pPr>
        <w:tabs>
          <w:tab w:pos="6803" w:val="right"/>
          <w:tab w:pos="9071" w:val="right"/>
        </w:tabs>
        <w:spacing w:before="20" w:after="20"/>
        <w:ind w:left="283"/>
      </w:pPr>
      <w:r>
        <w:rPr>
          <w:rFonts w:ascii="Times New Roman" w:hAnsi="Times New Roman" w:eastAsia="Times New Roman"/>
          <w:b w:val="0"/>
          <w:i w:val="0"/>
          <w:sz w:val="20"/>
        </w:rPr>
        <w:t>Cleaning &amp; rubbish removal</w:t>
      </w:r>
      <w:r>
        <w:rPr>
          <w:rFonts w:ascii="Times New Roman" w:hAnsi="Times New Roman" w:eastAsia="Times New Roman"/>
          <w:b w:val="0"/>
          <w:i w:val="0"/>
          <w:sz w:val="20"/>
        </w:rPr>
        <w:tab/>
        <w:t>10,012</w:t>
      </w:r>
    </w:p>
    <w:p>
      <w:pPr>
        <w:tabs>
          <w:tab w:pos="6803" w:val="right"/>
          <w:tab w:pos="9071" w:val="right"/>
        </w:tabs>
        <w:spacing w:before="20" w:after="20"/>
        <w:ind w:left="283"/>
      </w:pPr>
      <w:r>
        <w:rPr>
          <w:rFonts w:ascii="Times New Roman" w:hAnsi="Times New Roman" w:eastAsia="Times New Roman"/>
          <w:b w:val="0"/>
          <w:i w:val="0"/>
          <w:sz w:val="20"/>
        </w:rPr>
        <w:t>Conference centre expenses</w:t>
      </w:r>
      <w:r>
        <w:rPr>
          <w:rFonts w:ascii="Times New Roman" w:hAnsi="Times New Roman" w:eastAsia="Times New Roman"/>
          <w:b w:val="0"/>
          <w:i w:val="0"/>
          <w:sz w:val="20"/>
        </w:rPr>
        <w:tab/>
        <w:t>-</w:t>
      </w:r>
    </w:p>
    <w:p>
      <w:pPr>
        <w:tabs>
          <w:tab w:pos="6803" w:val="right"/>
          <w:tab w:pos="9071" w:val="right"/>
        </w:tabs>
        <w:spacing w:before="20" w:after="20"/>
        <w:ind w:left="283"/>
      </w:pPr>
      <w:r>
        <w:rPr>
          <w:rFonts w:ascii="Times New Roman" w:hAnsi="Times New Roman" w:eastAsia="Times New Roman"/>
          <w:b w:val="0"/>
          <w:i w:val="0"/>
          <w:sz w:val="20"/>
        </w:rPr>
        <w:t>Consultants fees</w:t>
      </w:r>
      <w:r>
        <w:rPr>
          <w:rFonts w:ascii="Times New Roman" w:hAnsi="Times New Roman" w:eastAsia="Times New Roman"/>
          <w:b w:val="0"/>
          <w:i w:val="0"/>
          <w:sz w:val="20"/>
        </w:rPr>
        <w:tab/>
        <w:t>5,990</w:t>
      </w:r>
    </w:p>
    <w:p>
      <w:pPr>
        <w:tabs>
          <w:tab w:pos="6803" w:val="right"/>
          <w:tab w:pos="9071" w:val="right"/>
        </w:tabs>
        <w:spacing w:before="20" w:after="20"/>
        <w:ind w:left="283"/>
      </w:pPr>
      <w:r>
        <w:rPr>
          <w:rFonts w:ascii="Times New Roman" w:hAnsi="Times New Roman" w:eastAsia="Times New Roman"/>
          <w:b w:val="0"/>
          <w:i w:val="0"/>
          <w:sz w:val="20"/>
        </w:rPr>
        <w:t>Depreciation</w:t>
      </w:r>
      <w:r>
        <w:rPr>
          <w:rFonts w:ascii="Times New Roman" w:hAnsi="Times New Roman" w:eastAsia="Times New Roman"/>
          <w:b w:val="0"/>
          <w:i w:val="0"/>
          <w:sz w:val="20"/>
        </w:rPr>
        <w:tab/>
        <w:t>17,562</w:t>
      </w:r>
    </w:p>
    <w:p>
      <w:pPr>
        <w:tabs>
          <w:tab w:pos="6803" w:val="right"/>
          <w:tab w:pos="9071" w:val="right"/>
        </w:tabs>
        <w:spacing w:before="20" w:after="20"/>
        <w:ind w:left="283"/>
      </w:pPr>
      <w:r>
        <w:rPr>
          <w:rFonts w:ascii="Times New Roman" w:hAnsi="Times New Roman" w:eastAsia="Times New Roman"/>
          <w:b w:val="0"/>
          <w:i w:val="0"/>
          <w:sz w:val="20"/>
        </w:rPr>
        <w:t>Equipment (minor)</w:t>
      </w:r>
      <w:r>
        <w:rPr>
          <w:rFonts w:ascii="Times New Roman" w:hAnsi="Times New Roman" w:eastAsia="Times New Roman"/>
          <w:b w:val="0"/>
          <w:i w:val="0"/>
          <w:sz w:val="20"/>
        </w:rPr>
        <w:tab/>
        <w:t>2,124</w:t>
      </w:r>
    </w:p>
    <w:p>
      <w:pPr>
        <w:tabs>
          <w:tab w:pos="6803" w:val="right"/>
          <w:tab w:pos="9071" w:val="right"/>
        </w:tabs>
        <w:spacing w:before="20" w:after="20"/>
        <w:ind w:left="283"/>
      </w:pPr>
      <w:r>
        <w:rPr>
          <w:rFonts w:ascii="Times New Roman" w:hAnsi="Times New Roman" w:eastAsia="Times New Roman"/>
          <w:b w:val="0"/>
          <w:i w:val="0"/>
          <w:sz w:val="20"/>
        </w:rPr>
        <w:t>Fines &amp; penalties</w:t>
      </w:r>
      <w:r>
        <w:rPr>
          <w:rFonts w:ascii="Times New Roman" w:hAnsi="Times New Roman" w:eastAsia="Times New Roman"/>
          <w:b w:val="0"/>
          <w:i w:val="0"/>
          <w:sz w:val="20"/>
        </w:rPr>
        <w:tab/>
        <w:t>-</w:t>
      </w:r>
    </w:p>
    <w:p>
      <w:pPr>
        <w:tabs>
          <w:tab w:pos="6803" w:val="right"/>
          <w:tab w:pos="9071" w:val="right"/>
        </w:tabs>
        <w:spacing w:before="20" w:after="20"/>
        <w:ind w:left="283"/>
      </w:pPr>
      <w:r>
        <w:rPr>
          <w:rFonts w:ascii="Times New Roman" w:hAnsi="Times New Roman" w:eastAsia="Times New Roman"/>
          <w:b w:val="0"/>
          <w:i w:val="0"/>
          <w:sz w:val="20"/>
        </w:rPr>
        <w:t>Fringe benefits tax</w:t>
      </w:r>
      <w:r>
        <w:rPr>
          <w:rFonts w:ascii="Times New Roman" w:hAnsi="Times New Roman" w:eastAsia="Times New Roman"/>
          <w:b w:val="0"/>
          <w:i w:val="0"/>
          <w:sz w:val="20"/>
        </w:rPr>
        <w:tab/>
        <w:t>1,313</w:t>
      </w:r>
    </w:p>
    <w:p>
      <w:pPr>
        <w:tabs>
          <w:tab w:pos="6803" w:val="right"/>
          <w:tab w:pos="9071" w:val="right"/>
        </w:tabs>
        <w:spacing w:before="20" w:after="20"/>
        <w:ind w:left="283"/>
      </w:pPr>
      <w:r>
        <w:rPr>
          <w:rFonts w:ascii="Times New Roman" w:hAnsi="Times New Roman" w:eastAsia="Times New Roman"/>
          <w:b w:val="0"/>
          <w:i w:val="0"/>
          <w:sz w:val="20"/>
        </w:rPr>
        <w:t>Freight &amp; courier</w:t>
      </w:r>
      <w:r>
        <w:rPr>
          <w:rFonts w:ascii="Times New Roman" w:hAnsi="Times New Roman" w:eastAsia="Times New Roman"/>
          <w:b w:val="0"/>
          <w:i w:val="0"/>
          <w:sz w:val="20"/>
        </w:rPr>
        <w:tab/>
        <w:t>255</w:t>
      </w:r>
    </w:p>
    <w:p>
      <w:pPr>
        <w:tabs>
          <w:tab w:pos="6803" w:val="right"/>
          <w:tab w:pos="9071" w:val="right"/>
        </w:tabs>
        <w:spacing w:before="20" w:after="20"/>
        <w:ind w:left="283"/>
      </w:pPr>
      <w:r>
        <w:rPr>
          <w:rFonts w:ascii="Times New Roman" w:hAnsi="Times New Roman" w:eastAsia="Times New Roman"/>
          <w:b w:val="0"/>
          <w:i w:val="0"/>
          <w:sz w:val="20"/>
        </w:rPr>
        <w:t>General expenses</w:t>
      </w:r>
      <w:r>
        <w:rPr>
          <w:rFonts w:ascii="Times New Roman" w:hAnsi="Times New Roman" w:eastAsia="Times New Roman"/>
          <w:b w:val="0"/>
          <w:i w:val="0"/>
          <w:sz w:val="20"/>
        </w:rPr>
        <w:tab/>
        <w:t>33,038</w:t>
      </w:r>
    </w:p>
    <w:p>
      <w:pPr>
        <w:tabs>
          <w:tab w:pos="6803" w:val="right"/>
          <w:tab w:pos="9071" w:val="right"/>
        </w:tabs>
        <w:spacing w:before="20" w:after="20"/>
        <w:ind w:left="283"/>
      </w:pPr>
      <w:r>
        <w:rPr>
          <w:rFonts w:ascii="Times New Roman" w:hAnsi="Times New Roman" w:eastAsia="Times New Roman"/>
          <w:b w:val="0"/>
          <w:i w:val="0"/>
          <w:sz w:val="20"/>
        </w:rPr>
        <w:t>I.T Expenses</w:t>
      </w:r>
      <w:r>
        <w:rPr>
          <w:rFonts w:ascii="Times New Roman" w:hAnsi="Times New Roman" w:eastAsia="Times New Roman"/>
          <w:b w:val="0"/>
          <w:i w:val="0"/>
          <w:sz w:val="20"/>
        </w:rPr>
        <w:tab/>
        <w:t>8,613</w:t>
      </w:r>
    </w:p>
    <w:p>
      <w:pPr>
        <w:tabs>
          <w:tab w:pos="6803" w:val="right"/>
          <w:tab w:pos="9071" w:val="right"/>
        </w:tabs>
        <w:spacing w:before="20" w:after="20"/>
        <w:ind w:left="283"/>
      </w:pPr>
      <w:r>
        <w:rPr>
          <w:rFonts w:ascii="Times New Roman" w:hAnsi="Times New Roman" w:eastAsia="Times New Roman"/>
          <w:b w:val="0"/>
          <w:i w:val="0"/>
          <w:sz w:val="20"/>
        </w:rPr>
        <w:t>Laundry</w:t>
      </w:r>
      <w:r>
        <w:rPr>
          <w:rFonts w:ascii="Times New Roman" w:hAnsi="Times New Roman" w:eastAsia="Times New Roman"/>
          <w:b w:val="0"/>
          <w:i w:val="0"/>
          <w:sz w:val="20"/>
        </w:rPr>
        <w:tab/>
        <w:t>85,197</w:t>
      </w:r>
    </w:p>
    <w:p>
      <w:pPr>
        <w:tabs>
          <w:tab w:pos="6803" w:val="right"/>
          <w:tab w:pos="9071" w:val="right"/>
        </w:tabs>
        <w:spacing w:before="20" w:after="20"/>
        <w:ind w:left="283"/>
      </w:pPr>
      <w:r>
        <w:rPr>
          <w:rFonts w:ascii="Times New Roman" w:hAnsi="Times New Roman" w:eastAsia="Times New Roman"/>
          <w:b w:val="0"/>
          <w:i w:val="0"/>
          <w:sz w:val="20"/>
        </w:rPr>
        <w:t>Legal fees</w:t>
      </w:r>
      <w:r>
        <w:rPr>
          <w:rFonts w:ascii="Times New Roman" w:hAnsi="Times New Roman" w:eastAsia="Times New Roman"/>
          <w:b w:val="0"/>
          <w:i w:val="0"/>
          <w:sz w:val="20"/>
        </w:rPr>
        <w:tab/>
        <w:t>16,455</w:t>
      </w:r>
    </w:p>
    <w:p>
      <w:pPr>
        <w:tabs>
          <w:tab w:pos="6803" w:val="right"/>
          <w:tab w:pos="9071" w:val="right"/>
        </w:tabs>
        <w:spacing w:before="20" w:after="20"/>
        <w:ind w:left="283"/>
      </w:pPr>
      <w:r>
        <w:rPr>
          <w:rFonts w:ascii="Times New Roman" w:hAnsi="Times New Roman" w:eastAsia="Times New Roman"/>
          <w:b w:val="0"/>
          <w:i w:val="0"/>
          <w:sz w:val="20"/>
        </w:rPr>
        <w:t>Light &amp; power</w:t>
      </w:r>
      <w:r>
        <w:rPr>
          <w:rFonts w:ascii="Times New Roman" w:hAnsi="Times New Roman" w:eastAsia="Times New Roman"/>
          <w:b w:val="0"/>
          <w:i w:val="0"/>
          <w:sz w:val="20"/>
        </w:rPr>
        <w:tab/>
        <w:t>25,668</w:t>
      </w:r>
    </w:p>
    <w:p>
      <w:pPr>
        <w:tabs>
          <w:tab w:pos="6803" w:val="right"/>
          <w:tab w:pos="9071" w:val="right"/>
        </w:tabs>
        <w:spacing w:before="20" w:after="20"/>
        <w:ind w:left="283"/>
      </w:pPr>
      <w:r>
        <w:rPr>
          <w:rFonts w:ascii="Times New Roman" w:hAnsi="Times New Roman" w:eastAsia="Times New Roman"/>
          <w:b w:val="0"/>
          <w:i w:val="0"/>
          <w:sz w:val="20"/>
        </w:rPr>
        <w:t>Licences and Permits</w:t>
      </w:r>
      <w:r>
        <w:rPr>
          <w:rFonts w:ascii="Times New Roman" w:hAnsi="Times New Roman" w:eastAsia="Times New Roman"/>
          <w:b w:val="0"/>
          <w:i w:val="0"/>
          <w:sz w:val="20"/>
        </w:rPr>
        <w:tab/>
        <w:t>3,874</w:t>
      </w:r>
    </w:p>
    <w:p>
      <w:pPr>
        <w:tabs>
          <w:tab w:pos="6803" w:val="right"/>
          <w:tab w:pos="9071" w:val="right"/>
        </w:tabs>
        <w:spacing w:before="20" w:after="20"/>
        <w:ind w:left="283"/>
      </w:pPr>
      <w:r>
        <w:rPr>
          <w:rFonts w:ascii="Times New Roman" w:hAnsi="Times New Roman" w:eastAsia="Times New Roman"/>
          <w:b w:val="0"/>
          <w:i w:val="0"/>
          <w:sz w:val="20"/>
        </w:rPr>
        <w:t>Merchant Fees</w:t>
      </w:r>
      <w:r>
        <w:rPr>
          <w:rFonts w:ascii="Times New Roman" w:hAnsi="Times New Roman" w:eastAsia="Times New Roman"/>
          <w:b w:val="0"/>
          <w:i w:val="0"/>
          <w:sz w:val="20"/>
        </w:rPr>
        <w:tab/>
        <w:t>-</w:t>
      </w:r>
    </w:p>
    <w:p>
      <w:pPr>
        <w:tabs>
          <w:tab w:pos="6803" w:val="right"/>
          <w:tab w:pos="9071" w:val="right"/>
        </w:tabs>
        <w:spacing w:before="20" w:after="20"/>
        <w:ind w:left="283"/>
      </w:pPr>
      <w:r>
        <w:rPr>
          <w:rFonts w:ascii="Times New Roman" w:hAnsi="Times New Roman" w:eastAsia="Times New Roman"/>
          <w:b w:val="0"/>
          <w:i w:val="0"/>
          <w:sz w:val="20"/>
        </w:rPr>
        <w:t>Motor Vehicle Expenses</w:t>
      </w:r>
      <w:r>
        <w:rPr>
          <w:rFonts w:ascii="Times New Roman" w:hAnsi="Times New Roman" w:eastAsia="Times New Roman"/>
          <w:b w:val="0"/>
          <w:i w:val="0"/>
          <w:sz w:val="20"/>
        </w:rPr>
        <w:tab/>
        <w:t>4,995</w:t>
      </w:r>
    </w:p>
    <w:p>
      <w:pPr>
        <w:tabs>
          <w:tab w:pos="6803" w:val="right"/>
          <w:tab w:pos="9071" w:val="right"/>
        </w:tabs>
        <w:spacing w:before="20" w:after="20"/>
        <w:ind w:left="283"/>
      </w:pPr>
      <w:r>
        <w:rPr>
          <w:rFonts w:ascii="Times New Roman" w:hAnsi="Times New Roman" w:eastAsia="Times New Roman"/>
          <w:b w:val="0"/>
          <w:i w:val="0"/>
          <w:sz w:val="20"/>
        </w:rPr>
        <w:t>Payroll tax</w:t>
      </w:r>
      <w:r>
        <w:rPr>
          <w:rFonts w:ascii="Times New Roman" w:hAnsi="Times New Roman" w:eastAsia="Times New Roman"/>
          <w:b w:val="0"/>
          <w:i w:val="0"/>
          <w:sz w:val="20"/>
        </w:rPr>
        <w:tab/>
        <w:t>10,394</w:t>
      </w:r>
    </w:p>
    <w:p>
      <w:pPr>
        <w:tabs>
          <w:tab w:pos="6803" w:val="right"/>
          <w:tab w:pos="9071" w:val="right"/>
        </w:tabs>
        <w:spacing w:before="20" w:after="20"/>
        <w:ind w:left="283"/>
      </w:pPr>
      <w:r>
        <w:rPr>
          <w:rFonts w:ascii="Times New Roman" w:hAnsi="Times New Roman" w:eastAsia="Times New Roman"/>
          <w:b w:val="0"/>
          <w:i w:val="0"/>
          <w:sz w:val="20"/>
        </w:rPr>
        <w:t>Office Expenses</w:t>
      </w:r>
      <w:r>
        <w:rPr>
          <w:rFonts w:ascii="Times New Roman" w:hAnsi="Times New Roman" w:eastAsia="Times New Roman"/>
          <w:b w:val="0"/>
          <w:i w:val="0"/>
          <w:sz w:val="20"/>
        </w:rPr>
        <w:tab/>
        <w:t>141</w:t>
      </w:r>
    </w:p>
    <w:p>
      <w:pPr>
        <w:tabs>
          <w:tab w:pos="6803" w:val="right"/>
          <w:tab w:pos="9071" w:val="right"/>
        </w:tabs>
        <w:spacing w:before="20" w:after="20"/>
        <w:ind w:left="283"/>
      </w:pPr>
      <w:r>
        <w:rPr>
          <w:rFonts w:ascii="Times New Roman" w:hAnsi="Times New Roman" w:eastAsia="Times New Roman"/>
          <w:b w:val="0"/>
          <w:i w:val="0"/>
          <w:sz w:val="20"/>
        </w:rPr>
        <w:t>Postage</w:t>
      </w:r>
      <w:r>
        <w:rPr>
          <w:rFonts w:ascii="Times New Roman" w:hAnsi="Times New Roman" w:eastAsia="Times New Roman"/>
          <w:b w:val="0"/>
          <w:i w:val="0"/>
          <w:sz w:val="20"/>
        </w:rPr>
        <w:tab/>
        <w:t>56</w:t>
      </w:r>
    </w:p>
    <w:p>
      <w:pPr>
        <w:tabs>
          <w:tab w:pos="6803" w:val="right"/>
          <w:tab w:pos="9071" w:val="right"/>
        </w:tabs>
        <w:spacing w:before="20" w:after="20"/>
        <w:ind w:left="283"/>
      </w:pPr>
      <w:r>
        <w:rPr>
          <w:rFonts w:ascii="Times New Roman" w:hAnsi="Times New Roman" w:eastAsia="Times New Roman"/>
          <w:b w:val="0"/>
          <w:i w:val="0"/>
          <w:sz w:val="20"/>
        </w:rPr>
        <w:t>Printing &amp; stationery</w:t>
      </w:r>
      <w:r>
        <w:rPr>
          <w:rFonts w:ascii="Times New Roman" w:hAnsi="Times New Roman" w:eastAsia="Times New Roman"/>
          <w:b w:val="0"/>
          <w:i w:val="0"/>
          <w:sz w:val="20"/>
        </w:rPr>
        <w:tab/>
        <w:t>2,543</w:t>
      </w:r>
    </w:p>
    <w:p>
      <w:pPr>
        <w:tabs>
          <w:tab w:pos="6803" w:val="right"/>
          <w:tab w:pos="9071" w:val="right"/>
        </w:tabs>
        <w:spacing w:before="20" w:after="20"/>
        <w:ind w:left="283"/>
      </w:pPr>
      <w:r>
        <w:rPr>
          <w:rFonts w:ascii="Times New Roman" w:hAnsi="Times New Roman" w:eastAsia="Times New Roman"/>
          <w:b w:val="0"/>
          <w:i w:val="0"/>
          <w:sz w:val="20"/>
        </w:rPr>
        <w:t>Recruitment Expenses</w:t>
      </w:r>
      <w:r>
        <w:rPr>
          <w:rFonts w:ascii="Times New Roman" w:hAnsi="Times New Roman" w:eastAsia="Times New Roman"/>
          <w:b w:val="0"/>
          <w:i w:val="0"/>
          <w:sz w:val="20"/>
        </w:rPr>
        <w:tab/>
        <w:t>1,055</w:t>
      </w:r>
    </w:p>
    <w:p>
      <w:pPr>
        <w:tabs>
          <w:tab w:pos="6803" w:val="right"/>
          <w:tab w:pos="9071" w:val="right"/>
        </w:tabs>
        <w:spacing w:before="20" w:after="20"/>
        <w:ind w:left="283"/>
      </w:pPr>
      <w:r>
        <w:rPr>
          <w:rFonts w:ascii="Times New Roman" w:hAnsi="Times New Roman" w:eastAsia="Times New Roman"/>
          <w:b w:val="0"/>
          <w:i w:val="0"/>
          <w:sz w:val="20"/>
        </w:rPr>
        <w:t>Rates &amp; land taxes</w:t>
      </w:r>
      <w:r>
        <w:rPr>
          <w:rFonts w:ascii="Times New Roman" w:hAnsi="Times New Roman" w:eastAsia="Times New Roman"/>
          <w:b w:val="0"/>
          <w:i w:val="0"/>
          <w:sz w:val="20"/>
        </w:rPr>
        <w:tab/>
        <w:t>19,664</w:t>
      </w:r>
    </w:p>
    <w:p>
      <w:pPr>
        <w:tabs>
          <w:tab w:pos="6803" w:val="right"/>
          <w:tab w:pos="9071" w:val="right"/>
        </w:tabs>
        <w:spacing w:before="20" w:after="20"/>
        <w:ind w:left="283"/>
      </w:pPr>
      <w:r>
        <w:rPr>
          <w:rFonts w:ascii="Times New Roman" w:hAnsi="Times New Roman" w:eastAsia="Times New Roman"/>
          <w:b w:val="0"/>
          <w:i w:val="0"/>
          <w:sz w:val="20"/>
        </w:rPr>
        <w:t>Rent</w:t>
      </w:r>
      <w:r>
        <w:rPr>
          <w:rFonts w:ascii="Times New Roman" w:hAnsi="Times New Roman" w:eastAsia="Times New Roman"/>
          <w:b w:val="0"/>
          <w:i w:val="0"/>
          <w:sz w:val="20"/>
        </w:rPr>
        <w:tab/>
        <w:t>400,382</w:t>
      </w:r>
    </w:p>
    <w:p>
      <w:pPr>
        <w:tabs>
          <w:tab w:pos="6803" w:val="right"/>
          <w:tab w:pos="9071" w:val="right"/>
        </w:tabs>
        <w:spacing w:before="20" w:after="20"/>
        <w:ind w:left="283"/>
      </w:pPr>
      <w:r>
        <w:rPr>
          <w:rFonts w:ascii="Times New Roman" w:hAnsi="Times New Roman" w:eastAsia="Times New Roman"/>
          <w:b w:val="0"/>
          <w:i w:val="0"/>
          <w:sz w:val="20"/>
        </w:rPr>
        <w:t>Repair and Maintenance</w:t>
      </w:r>
      <w:r>
        <w:rPr>
          <w:rFonts w:ascii="Times New Roman" w:hAnsi="Times New Roman" w:eastAsia="Times New Roman"/>
          <w:b w:val="0"/>
          <w:i w:val="0"/>
          <w:sz w:val="20"/>
        </w:rPr>
        <w:tab/>
        <w:t>64,493</w:t>
      </w:r>
    </w:p>
    <w:p>
      <w:pPr>
        <w:tabs>
          <w:tab w:pos="6803" w:val="right"/>
          <w:tab w:pos="9071" w:val="right"/>
        </w:tabs>
        <w:spacing w:before="20" w:after="20"/>
        <w:ind w:left="283"/>
      </w:pPr>
      <w:r>
        <w:rPr>
          <w:rFonts w:ascii="Times New Roman" w:hAnsi="Times New Roman" w:eastAsia="Times New Roman"/>
          <w:b w:val="0"/>
          <w:i w:val="0"/>
          <w:sz w:val="20"/>
        </w:rPr>
        <w:t>Rubbish removal</w:t>
      </w:r>
      <w:r>
        <w:rPr>
          <w:rFonts w:ascii="Times New Roman" w:hAnsi="Times New Roman" w:eastAsia="Times New Roman"/>
          <w:b w:val="0"/>
          <w:i w:val="0"/>
          <w:sz w:val="20"/>
        </w:rPr>
        <w:tab/>
        <w:t>14,196</w:t>
      </w:r>
    </w:p>
    <w:p>
      <w:pPr>
        <w:tabs>
          <w:tab w:pos="6803" w:val="right"/>
          <w:tab w:pos="9071" w:val="right"/>
        </w:tabs>
        <w:spacing w:before="20" w:after="20"/>
        <w:ind w:left="283"/>
      </w:pPr>
      <w:r>
        <w:rPr>
          <w:rFonts w:ascii="Times New Roman" w:hAnsi="Times New Roman" w:eastAsia="Times New Roman"/>
          <w:b w:val="0"/>
          <w:i w:val="0"/>
          <w:sz w:val="20"/>
        </w:rPr>
        <w:t>Security</w:t>
      </w:r>
      <w:r>
        <w:rPr>
          <w:rFonts w:ascii="Times New Roman" w:hAnsi="Times New Roman" w:eastAsia="Times New Roman"/>
          <w:b w:val="0"/>
          <w:i w:val="0"/>
          <w:sz w:val="20"/>
        </w:rPr>
        <w:tab/>
        <w:t>93</w:t>
      </w:r>
    </w:p>
    <w:p>
      <w:pPr>
        <w:tabs>
          <w:tab w:pos="6803" w:val="right"/>
          <w:tab w:pos="9071" w:val="right"/>
        </w:tabs>
        <w:spacing w:before="20" w:after="20"/>
        <w:ind w:left="283"/>
      </w:pPr>
      <w:r>
        <w:rPr>
          <w:rFonts w:ascii="Times New Roman" w:hAnsi="Times New Roman" w:eastAsia="Times New Roman"/>
          <w:b w:val="0"/>
          <w:i w:val="0"/>
          <w:sz w:val="20"/>
        </w:rPr>
        <w:t>Staff amenities and uniform</w:t>
      </w:r>
      <w:r>
        <w:rPr>
          <w:rFonts w:ascii="Times New Roman" w:hAnsi="Times New Roman" w:eastAsia="Times New Roman"/>
          <w:b w:val="0"/>
          <w:i w:val="0"/>
          <w:sz w:val="20"/>
        </w:rPr>
        <w:tab/>
        <w:t>2,301</w:t>
      </w:r>
    </w:p>
    <w:p>
      <w:pPr>
        <w:tabs>
          <w:tab w:pos="6803" w:val="right"/>
          <w:tab w:pos="9071" w:val="right"/>
        </w:tabs>
        <w:spacing w:before="20" w:after="20"/>
        <w:ind w:left="283"/>
      </w:pPr>
      <w:r>
        <w:rPr>
          <w:rFonts w:ascii="Times New Roman" w:hAnsi="Times New Roman" w:eastAsia="Times New Roman"/>
          <w:b w:val="0"/>
          <w:i w:val="0"/>
          <w:sz w:val="20"/>
        </w:rPr>
        <w:t>Subscriptions</w:t>
      </w:r>
      <w:r>
        <w:rPr>
          <w:rFonts w:ascii="Times New Roman" w:hAnsi="Times New Roman" w:eastAsia="Times New Roman"/>
          <w:b w:val="0"/>
          <w:i w:val="0"/>
          <w:sz w:val="20"/>
        </w:rPr>
        <w:tab/>
        <w:t>34,323</w:t>
      </w:r>
    </w:p>
    <w:p>
      <w:pPr>
        <w:tabs>
          <w:tab w:pos="6803" w:val="right"/>
          <w:tab w:pos="9071" w:val="right"/>
        </w:tabs>
        <w:spacing w:before="20" w:after="20"/>
        <w:ind w:left="283"/>
      </w:pPr>
      <w:r>
        <w:rPr>
          <w:rFonts w:ascii="Times New Roman" w:hAnsi="Times New Roman" w:eastAsia="Times New Roman"/>
          <w:b w:val="0"/>
          <w:i w:val="0"/>
          <w:sz w:val="20"/>
        </w:rPr>
        <w:t>Superannuation</w:t>
      </w:r>
      <w:r>
        <w:rPr>
          <w:rFonts w:ascii="Times New Roman" w:hAnsi="Times New Roman" w:eastAsia="Times New Roman"/>
          <w:b w:val="0"/>
          <w:i w:val="0"/>
          <w:sz w:val="20"/>
        </w:rPr>
        <w:tab/>
        <w:t>113,481</w:t>
      </w:r>
    </w:p>
    <w:p>
      <w:pPr>
        <w:tabs>
          <w:tab w:pos="6803" w:val="right"/>
          <w:tab w:pos="9071" w:val="right"/>
        </w:tabs>
        <w:spacing w:before="20" w:after="20"/>
        <w:ind w:left="283"/>
      </w:pPr>
      <w:r>
        <w:rPr>
          <w:rFonts w:ascii="Times New Roman" w:hAnsi="Times New Roman" w:eastAsia="Times New Roman"/>
          <w:b w:val="0"/>
          <w:i w:val="0"/>
          <w:sz w:val="20"/>
        </w:rPr>
        <w:t>Telephone &amp; Internet</w:t>
      </w:r>
      <w:r>
        <w:rPr>
          <w:rFonts w:ascii="Times New Roman" w:hAnsi="Times New Roman" w:eastAsia="Times New Roman"/>
          <w:b w:val="0"/>
          <w:i w:val="0"/>
          <w:sz w:val="20"/>
        </w:rPr>
        <w:tab/>
        <w:t>14,070</w:t>
      </w:r>
    </w:p>
    <w:p>
      <w:pPr>
        <w:tabs>
          <w:tab w:pos="6803" w:val="right"/>
          <w:tab w:pos="9071" w:val="right"/>
        </w:tabs>
        <w:spacing w:before="20" w:after="20"/>
        <w:ind w:left="283"/>
      </w:pPr>
      <w:r>
        <w:rPr>
          <w:rFonts w:ascii="Times New Roman" w:hAnsi="Times New Roman" w:eastAsia="Times New Roman"/>
          <w:b w:val="0"/>
          <w:i w:val="0"/>
          <w:sz w:val="20"/>
        </w:rPr>
        <w:t>Wages</w:t>
      </w:r>
      <w:r>
        <w:rPr>
          <w:rFonts w:ascii="Times New Roman" w:hAnsi="Times New Roman" w:eastAsia="Times New Roman"/>
          <w:b w:val="0"/>
          <w:i w:val="0"/>
          <w:sz w:val="20"/>
        </w:rPr>
        <w:tab/>
        <w:t>1,000,177</w:t>
      </w:r>
    </w:p>
    <w:p>
      <w:pPr>
        <w:tabs>
          <w:tab w:pos="6803" w:val="right"/>
          <w:tab w:pos="9071" w:val="right"/>
        </w:tabs>
        <w:spacing w:before="20" w:after="20"/>
        <w:ind w:left="283"/>
      </w:pPr>
      <w:r>
        <w:rPr>
          <w:rFonts w:ascii="Times New Roman" w:hAnsi="Times New Roman" w:eastAsia="Times New Roman"/>
          <w:b w:val="0"/>
          <w:i w:val="0"/>
          <w:sz w:val="20"/>
        </w:rPr>
        <w:t>Workcover</w:t>
      </w:r>
      <w:r>
        <w:rPr>
          <w:rFonts w:ascii="Times New Roman" w:hAnsi="Times New Roman" w:eastAsia="Times New Roman"/>
          <w:b w:val="0"/>
          <w:i w:val="0"/>
          <w:sz w:val="20"/>
        </w:rPr>
        <w:tab/>
        <w:t>19,371</w:t>
      </w:r>
    </w:p>
    <w:p>
      <w:pPr>
        <w:tabs>
          <w:tab w:pos="6803" w:val="right"/>
          <w:tab w:pos="9071" w:val="right"/>
        </w:tabs>
        <w:spacing w:before="20" w:after="20"/>
      </w:pPr>
      <w:r>
        <w:rPr>
          <w:rFonts w:ascii="Times New Roman" w:hAnsi="Times New Roman" w:eastAsia="Times New Roman"/>
          <w:b w:val="0"/>
          <w:i w:val="0"/>
          <w:sz w:val="20"/>
        </w:rPr>
        <w:t>Total expenses</w:t>
      </w:r>
      <w:r>
        <w:rPr>
          <w:rFonts w:ascii="Times New Roman" w:hAnsi="Times New Roman" w:eastAsia="Times New Roman"/>
          <w:b w:val="0"/>
          <w:i w:val="0"/>
          <w:sz w:val="20"/>
        </w:rPr>
        <w:tab/>
        <w:t>1,939,947</w:t>
      </w:r>
    </w:p>
    <w:p>
      <w:pPr>
        <w:spacing w:after="80"/>
      </w:pPr>
    </w:p>
    <w:p>
      <w:pPr>
        <w:tabs>
          <w:tab w:pos="6803" w:val="right"/>
          <w:tab w:pos="9071" w:val="right"/>
        </w:tabs>
        <w:spacing w:before="20" w:after="20"/>
      </w:pPr>
      <w:r>
        <w:rPr>
          <w:rFonts w:ascii="Times New Roman" w:hAnsi="Times New Roman" w:eastAsia="Times New Roman"/>
          <w:b/>
          <w:i w:val="0"/>
          <w:sz w:val="20"/>
        </w:rPr>
        <w:t>Profit (Loss) from Ordinary Activities before income tax</w:t>
      </w:r>
      <w:r>
        <w:rPr>
          <w:rFonts w:ascii="Times New Roman" w:hAnsi="Times New Roman" w:eastAsia="Times New Roman"/>
          <w:b/>
          <w:i w:val="0"/>
          <w:sz w:val="20"/>
        </w:rPr>
        <w:tab/>
        <w:t>470,796</w:t>
      </w:r>
    </w:p>
    <w:p>
      <w:pPr>
        <w:spacing w:before="40" w:after="40"/>
        <w:pBdr>
          <w:bottom w:val="single" w:sz="12" w:space="1" w:color="000000"/>
        </w:pBdr>
      </w:pPr>
    </w:p>
    <w:p>
      <w:pPr>
        <w:spacing w:before="0" w:after="40"/>
        <w:jc w:val="center"/>
      </w:pPr>
      <w:r>
        <w:rPr>
          <w:rFonts w:ascii="Times New Roman" w:hAnsi="Times New Roman" w:eastAsia="Times New Roman"/>
          <w:b/>
          <w:i w:val="0"/>
          <w:sz w:val="16"/>
        </w:rPr>
        <w:t>These financial statements are unaudited. They must be read in conjunction with the attached Accountant's Compilation Report and Notes which form part of these financial statements.</w:t>
      </w:r>
    </w:p>
    <w:p>
      <w:r>
        <w:br w:type="page"/>
      </w:r>
    </w:p>
    <w:p>
      <w:pPr>
        <w:spacing w:before="0" w:after="0"/>
        <w:jc w:val="center"/>
      </w:pPr>
      <w:r>
        <w:rPr>
          <w:rFonts w:ascii="Times New Roman" w:hAnsi="Times New Roman" w:eastAsia="Times New Roman"/>
          <w:b/>
          <w:i w:val="0"/>
          <w:sz w:val="28"/>
        </w:rPr>
        <w:t>Foothills Conference Centre Pty Ltd</w:t>
      </w:r>
    </w:p>
    <w:p>
      <w:pPr>
        <w:spacing w:before="0" w:after="0"/>
        <w:jc w:val="center"/>
      </w:pPr>
      <w:r>
        <w:rPr>
          <w:rFonts w:ascii="Times New Roman" w:hAnsi="Times New Roman" w:eastAsia="Times New Roman"/>
          <w:b/>
          <w:i w:val="0"/>
          <w:sz w:val="22"/>
        </w:rPr>
        <w:t>ABN 92 164 525 311</w:t>
      </w:r>
    </w:p>
    <w:p>
      <w:pPr>
        <w:spacing w:before="0" w:after="0"/>
        <w:jc w:val="center"/>
      </w:pPr>
      <w:r>
        <w:rPr>
          <w:rFonts w:ascii="Times New Roman" w:hAnsi="Times New Roman" w:eastAsia="Times New Roman"/>
          <w:b/>
          <w:i w:val="0"/>
          <w:sz w:val="24"/>
        </w:rPr>
        <w:t>Detailed Balance Sheet as at 30 June 2025</w:t>
      </w:r>
    </w:p>
    <w:p>
      <w:pPr>
        <w:spacing w:before="40" w:after="40"/>
        <w:pBdr>
          <w:bottom w:val="single" w:sz="12" w:space="1" w:color="000000"/>
        </w:pBdr>
      </w:pPr>
    </w:p>
    <w:p>
      <w:pPr>
        <w:tabs>
          <w:tab w:pos="6803" w:val="right"/>
          <w:tab w:pos="9071" w:val="right"/>
        </w:tabs>
        <w:spacing w:after="0"/>
      </w:pPr>
      <w:r>
        <w:rPr>
          <w:rFonts w:ascii="Times New Roman" w:hAnsi="Times New Roman" w:eastAsia="Times New Roman"/>
          <w:b/>
          <w:i w:val="0"/>
          <w:sz w:val="20"/>
        </w:rPr>
        <w:tab/>
        <w:t>Note</w:t>
      </w:r>
      <w:r>
        <w:rPr>
          <w:rFonts w:ascii="Times New Roman" w:hAnsi="Times New Roman" w:eastAsia="Times New Roman"/>
          <w:b/>
          <w:i w:val="0"/>
          <w:sz w:val="20"/>
        </w:rPr>
        <w:tab/>
        <w:t>2025</w:t>
      </w:r>
    </w:p>
    <w:p>
      <w:pPr>
        <w:tabs>
          <w:tab w:pos="9071" w:val="right"/>
        </w:tabs>
        <w:spacing w:after="0"/>
      </w:pPr>
      <w:r>
        <w:rPr>
          <w:rFonts w:ascii="Times New Roman" w:hAnsi="Times New Roman" w:eastAsia="Times New Roman"/>
          <w:b w:val="0"/>
          <w:i w:val="0"/>
          <w:sz w:val="20"/>
        </w:rPr>
        <w:tab/>
        <w:t>$</w:t>
      </w:r>
    </w:p>
    <w:p>
      <w:pPr>
        <w:spacing w:before="40" w:after="40"/>
        <w:pBdr>
          <w:bottom w:val="single" w:sz="12" w:space="1" w:color="000000"/>
        </w:pBdr>
      </w:pPr>
    </w:p>
    <w:p>
      <w:pPr>
        <w:tabs>
          <w:tab w:pos="6803" w:val="right"/>
          <w:tab w:pos="9071" w:val="right"/>
        </w:tabs>
        <w:spacing w:before="160" w:after="80"/>
      </w:pPr>
      <w:r>
        <w:rPr>
          <w:rFonts w:ascii="Times New Roman" w:hAnsi="Times New Roman" w:eastAsia="Times New Roman"/>
          <w:b/>
          <w:i w:val="0"/>
          <w:sz w:val="24"/>
        </w:rPr>
        <w:t>Current Assets</w:t>
      </w:r>
    </w:p>
    <w:p>
      <w:pPr>
        <w:tabs>
          <w:tab w:pos="6803" w:val="right"/>
          <w:tab w:pos="9071" w:val="right"/>
        </w:tabs>
        <w:spacing w:before="160" w:after="80"/>
      </w:pPr>
      <w:r>
        <w:rPr>
          <w:rFonts w:ascii="Times New Roman" w:hAnsi="Times New Roman" w:eastAsia="Times New Roman"/>
          <w:b/>
          <w:i w:val="0"/>
          <w:sz w:val="20"/>
        </w:rPr>
        <w:t>Cash Assets</w:t>
      </w:r>
    </w:p>
    <w:p>
      <w:pPr>
        <w:tabs>
          <w:tab w:pos="6803" w:val="right"/>
          <w:tab w:pos="9071" w:val="right"/>
        </w:tabs>
        <w:spacing w:before="20" w:after="20"/>
        <w:ind w:left="283"/>
      </w:pPr>
      <w:r>
        <w:rPr>
          <w:rFonts w:ascii="Times New Roman" w:hAnsi="Times New Roman" w:eastAsia="Times New Roman"/>
          <w:b w:val="0"/>
          <w:i w:val="0"/>
          <w:sz w:val="20"/>
        </w:rPr>
        <w:t>Cash at bank - CBA Trading</w:t>
      </w:r>
      <w:r>
        <w:rPr>
          <w:rFonts w:ascii="Times New Roman" w:hAnsi="Times New Roman" w:eastAsia="Times New Roman"/>
          <w:b w:val="0"/>
          <w:i w:val="0"/>
          <w:sz w:val="20"/>
        </w:rPr>
        <w:tab/>
        <w:t>88,566</w:t>
      </w:r>
    </w:p>
    <w:p>
      <w:pPr>
        <w:tabs>
          <w:tab w:pos="6803" w:val="right"/>
          <w:tab w:pos="9071" w:val="right"/>
        </w:tabs>
        <w:spacing w:before="20" w:after="20"/>
        <w:ind w:left="283"/>
      </w:pPr>
      <w:r>
        <w:rPr>
          <w:rFonts w:ascii="Times New Roman" w:hAnsi="Times New Roman" w:eastAsia="Times New Roman"/>
          <w:b w:val="0"/>
          <w:i w:val="0"/>
          <w:sz w:val="20"/>
        </w:rPr>
        <w:t>Cash on hand / Petty Cash</w:t>
      </w:r>
      <w:r>
        <w:rPr>
          <w:rFonts w:ascii="Times New Roman" w:hAnsi="Times New Roman" w:eastAsia="Times New Roman"/>
          <w:b w:val="0"/>
          <w:i w:val="0"/>
          <w:sz w:val="20"/>
        </w:rPr>
        <w:tab/>
        <w:t>227</w:t>
      </w:r>
    </w:p>
    <w:p>
      <w:pPr>
        <w:tabs>
          <w:tab w:pos="6803" w:val="right"/>
          <w:tab w:pos="9071" w:val="right"/>
        </w:tabs>
        <w:spacing w:before="20" w:after="20"/>
      </w:pPr>
      <w:r>
        <w:rPr>
          <w:rFonts w:ascii="Times New Roman" w:hAnsi="Times New Roman" w:eastAsia="Times New Roman"/>
          <w:b w:val="0"/>
          <w:i w:val="0"/>
          <w:sz w:val="20"/>
        </w:rPr>
      </w:r>
      <w:r>
        <w:rPr>
          <w:rFonts w:ascii="Times New Roman" w:hAnsi="Times New Roman" w:eastAsia="Times New Roman"/>
          <w:b w:val="0"/>
          <w:i w:val="0"/>
          <w:sz w:val="20"/>
        </w:rPr>
        <w:tab/>
        <w:t>88,793</w:t>
      </w:r>
    </w:p>
    <w:p>
      <w:pPr>
        <w:tabs>
          <w:tab w:pos="6803" w:val="right"/>
          <w:tab w:pos="9071" w:val="right"/>
        </w:tabs>
        <w:spacing w:before="160" w:after="80"/>
      </w:pPr>
      <w:r>
        <w:rPr>
          <w:rFonts w:ascii="Times New Roman" w:hAnsi="Times New Roman" w:eastAsia="Times New Roman"/>
          <w:b/>
          <w:i w:val="0"/>
          <w:sz w:val="20"/>
        </w:rPr>
        <w:t>Receivables</w:t>
      </w:r>
    </w:p>
    <w:p>
      <w:pPr>
        <w:tabs>
          <w:tab w:pos="6803" w:val="right"/>
          <w:tab w:pos="9071" w:val="right"/>
        </w:tabs>
        <w:spacing w:before="20" w:after="20"/>
        <w:ind w:left="283"/>
      </w:pPr>
      <w:r>
        <w:rPr>
          <w:rFonts w:ascii="Times New Roman" w:hAnsi="Times New Roman" w:eastAsia="Times New Roman"/>
          <w:b w:val="0"/>
          <w:i w:val="0"/>
          <w:sz w:val="20"/>
        </w:rPr>
        <w:t>Trade debtors</w:t>
      </w:r>
      <w:r>
        <w:rPr>
          <w:rFonts w:ascii="Times New Roman" w:hAnsi="Times New Roman" w:eastAsia="Times New Roman"/>
          <w:b w:val="0"/>
          <w:i w:val="0"/>
          <w:sz w:val="20"/>
        </w:rPr>
        <w:tab/>
        <w:t>68,335</w:t>
      </w:r>
    </w:p>
    <w:p>
      <w:pPr>
        <w:tabs>
          <w:tab w:pos="6803" w:val="right"/>
          <w:tab w:pos="9071" w:val="right"/>
        </w:tabs>
        <w:spacing w:before="160" w:after="80"/>
      </w:pPr>
      <w:r>
        <w:rPr>
          <w:rFonts w:ascii="Times New Roman" w:hAnsi="Times New Roman" w:eastAsia="Times New Roman"/>
          <w:b/>
          <w:i w:val="0"/>
          <w:sz w:val="20"/>
        </w:rPr>
        <w:t>Inventories</w:t>
      </w:r>
    </w:p>
    <w:p>
      <w:pPr>
        <w:tabs>
          <w:tab w:pos="6803" w:val="right"/>
          <w:tab w:pos="9071" w:val="right"/>
        </w:tabs>
        <w:spacing w:before="20" w:after="20"/>
        <w:ind w:left="283"/>
      </w:pPr>
      <w:r>
        <w:rPr>
          <w:rFonts w:ascii="Times New Roman" w:hAnsi="Times New Roman" w:eastAsia="Times New Roman"/>
          <w:b w:val="0"/>
          <w:i w:val="0"/>
          <w:sz w:val="20"/>
        </w:rPr>
        <w:t>Stock on Hand</w:t>
      </w:r>
      <w:r>
        <w:rPr>
          <w:rFonts w:ascii="Times New Roman" w:hAnsi="Times New Roman" w:eastAsia="Times New Roman"/>
          <w:b w:val="0"/>
          <w:i w:val="0"/>
          <w:sz w:val="20"/>
        </w:rPr>
        <w:tab/>
        <w:t>20,806</w:t>
      </w:r>
    </w:p>
    <w:p>
      <w:pPr>
        <w:tabs>
          <w:tab w:pos="6803" w:val="right"/>
          <w:tab w:pos="9071" w:val="right"/>
        </w:tabs>
        <w:spacing w:before="20" w:after="20"/>
      </w:pPr>
      <w:r>
        <w:rPr>
          <w:rFonts w:ascii="Times New Roman" w:hAnsi="Times New Roman" w:eastAsia="Times New Roman"/>
          <w:b/>
          <w:i w:val="0"/>
          <w:sz w:val="20"/>
        </w:rPr>
        <w:t>Total Current Assets</w:t>
      </w:r>
      <w:r>
        <w:rPr>
          <w:rFonts w:ascii="Times New Roman" w:hAnsi="Times New Roman" w:eastAsia="Times New Roman"/>
          <w:b/>
          <w:i w:val="0"/>
          <w:sz w:val="20"/>
        </w:rPr>
        <w:tab/>
        <w:t>177,935</w:t>
      </w:r>
    </w:p>
    <w:p>
      <w:pPr>
        <w:tabs>
          <w:tab w:pos="6803" w:val="right"/>
          <w:tab w:pos="9071" w:val="right"/>
        </w:tabs>
        <w:spacing w:before="160" w:after="80"/>
      </w:pPr>
      <w:r>
        <w:rPr>
          <w:rFonts w:ascii="Times New Roman" w:hAnsi="Times New Roman" w:eastAsia="Times New Roman"/>
          <w:b/>
          <w:i w:val="0"/>
          <w:sz w:val="24"/>
        </w:rPr>
        <w:t>Non-Current Assets</w:t>
      </w:r>
    </w:p>
    <w:p>
      <w:pPr>
        <w:tabs>
          <w:tab w:pos="6803" w:val="right"/>
          <w:tab w:pos="9071" w:val="right"/>
        </w:tabs>
        <w:spacing w:before="160" w:after="80"/>
      </w:pPr>
      <w:r>
        <w:rPr>
          <w:rFonts w:ascii="Times New Roman" w:hAnsi="Times New Roman" w:eastAsia="Times New Roman"/>
          <w:b/>
          <w:i w:val="0"/>
          <w:sz w:val="20"/>
        </w:rPr>
        <w:t>Receivables</w:t>
      </w:r>
    </w:p>
    <w:p>
      <w:pPr>
        <w:tabs>
          <w:tab w:pos="6803" w:val="right"/>
          <w:tab w:pos="9071" w:val="right"/>
        </w:tabs>
        <w:spacing w:before="20" w:after="20"/>
        <w:ind w:left="283"/>
      </w:pPr>
      <w:r>
        <w:rPr>
          <w:rFonts w:ascii="Times New Roman" w:hAnsi="Times New Roman" w:eastAsia="Times New Roman"/>
          <w:b w:val="0"/>
          <w:i w:val="0"/>
          <w:sz w:val="20"/>
        </w:rPr>
        <w:t>Loan - Placitum Pty Ltd</w:t>
      </w:r>
      <w:r>
        <w:rPr>
          <w:rFonts w:ascii="Times New Roman" w:hAnsi="Times New Roman" w:eastAsia="Times New Roman"/>
          <w:b w:val="0"/>
          <w:i w:val="0"/>
          <w:sz w:val="20"/>
        </w:rPr>
        <w:tab/>
        <w:t>274,477</w:t>
      </w:r>
    </w:p>
    <w:p>
      <w:pPr>
        <w:tabs>
          <w:tab w:pos="6803" w:val="right"/>
          <w:tab w:pos="9071" w:val="right"/>
        </w:tabs>
        <w:spacing w:before="20" w:after="20"/>
        <w:ind w:left="283"/>
      </w:pPr>
      <w:r>
        <w:rPr>
          <w:rFonts w:ascii="Times New Roman" w:hAnsi="Times New Roman" w:eastAsia="Times New Roman"/>
          <w:b w:val="0"/>
          <w:i w:val="0"/>
          <w:sz w:val="20"/>
        </w:rPr>
        <w:t>Loan - ALIC</w:t>
      </w:r>
      <w:r>
        <w:rPr>
          <w:rFonts w:ascii="Times New Roman" w:hAnsi="Times New Roman" w:eastAsia="Times New Roman"/>
          <w:b w:val="0"/>
          <w:i w:val="0"/>
          <w:sz w:val="20"/>
        </w:rPr>
        <w:tab/>
        <w:t>373,908</w:t>
      </w:r>
    </w:p>
    <w:p>
      <w:pPr>
        <w:tabs>
          <w:tab w:pos="6803" w:val="right"/>
          <w:tab w:pos="9071" w:val="right"/>
        </w:tabs>
        <w:spacing w:before="20" w:after="20"/>
        <w:ind w:left="283"/>
      </w:pPr>
      <w:r>
        <w:rPr>
          <w:rFonts w:ascii="Times New Roman" w:hAnsi="Times New Roman" w:eastAsia="Times New Roman"/>
          <w:b w:val="0"/>
          <w:i w:val="0"/>
          <w:sz w:val="20"/>
        </w:rPr>
        <w:t>Loan - Jim's Group Pty Ltd</w:t>
      </w:r>
      <w:r>
        <w:rPr>
          <w:rFonts w:ascii="Times New Roman" w:hAnsi="Times New Roman" w:eastAsia="Times New Roman"/>
          <w:b w:val="0"/>
          <w:i w:val="0"/>
          <w:sz w:val="20"/>
        </w:rPr>
        <w:tab/>
        <w:t>818,984</w:t>
      </w:r>
    </w:p>
    <w:p>
      <w:pPr>
        <w:tabs>
          <w:tab w:pos="6803" w:val="right"/>
          <w:tab w:pos="9071" w:val="right"/>
        </w:tabs>
        <w:spacing w:before="20" w:after="20"/>
        <w:ind w:left="283"/>
      </w:pPr>
      <w:r>
        <w:rPr>
          <w:rFonts w:ascii="Times New Roman" w:hAnsi="Times New Roman" w:eastAsia="Times New Roman"/>
          <w:b w:val="0"/>
          <w:i w:val="0"/>
          <w:sz w:val="20"/>
        </w:rPr>
        <w:t>Loan - Lihui Enterprise Pty Ltd</w:t>
      </w:r>
      <w:r>
        <w:rPr>
          <w:rFonts w:ascii="Times New Roman" w:hAnsi="Times New Roman" w:eastAsia="Times New Roman"/>
          <w:b w:val="0"/>
          <w:i w:val="0"/>
          <w:sz w:val="20"/>
        </w:rPr>
        <w:tab/>
        <w:t>192,293</w:t>
      </w:r>
    </w:p>
    <w:p>
      <w:pPr>
        <w:tabs>
          <w:tab w:pos="6803" w:val="right"/>
          <w:tab w:pos="9071" w:val="right"/>
        </w:tabs>
        <w:spacing w:before="20" w:after="20"/>
        <w:ind w:left="283"/>
      </w:pPr>
      <w:r>
        <w:rPr>
          <w:rFonts w:ascii="Times New Roman" w:hAnsi="Times New Roman" w:eastAsia="Times New Roman"/>
          <w:b w:val="0"/>
          <w:i w:val="0"/>
          <w:sz w:val="20"/>
        </w:rPr>
        <w:t>Loan - Goona Warra Estate (25)</w:t>
      </w:r>
      <w:r>
        <w:rPr>
          <w:rFonts w:ascii="Times New Roman" w:hAnsi="Times New Roman" w:eastAsia="Times New Roman"/>
          <w:b w:val="0"/>
          <w:i w:val="0"/>
          <w:sz w:val="20"/>
        </w:rPr>
        <w:tab/>
        <w:t>151,575</w:t>
      </w:r>
    </w:p>
    <w:p>
      <w:pPr>
        <w:tabs>
          <w:tab w:pos="6803" w:val="right"/>
          <w:tab w:pos="9071" w:val="right"/>
        </w:tabs>
        <w:spacing w:before="160" w:after="80"/>
      </w:pPr>
      <w:r>
        <w:rPr>
          <w:rFonts w:ascii="Times New Roman" w:hAnsi="Times New Roman" w:eastAsia="Times New Roman"/>
          <w:b/>
          <w:i w:val="0"/>
          <w:sz w:val="20"/>
        </w:rPr>
        <w:t>Property, Plant and Equipment</w:t>
      </w:r>
    </w:p>
    <w:p>
      <w:pPr>
        <w:tabs>
          <w:tab w:pos="6803" w:val="right"/>
          <w:tab w:pos="9071" w:val="right"/>
        </w:tabs>
        <w:spacing w:before="20" w:after="20"/>
        <w:ind w:left="283"/>
      </w:pPr>
      <w:r>
        <w:rPr>
          <w:rFonts w:ascii="Times New Roman" w:hAnsi="Times New Roman" w:eastAsia="Times New Roman"/>
          <w:b w:val="0"/>
          <w:i w:val="0"/>
          <w:sz w:val="20"/>
        </w:rPr>
        <w:t>Furniture and fixtures</w:t>
      </w:r>
      <w:r>
        <w:rPr>
          <w:rFonts w:ascii="Times New Roman" w:hAnsi="Times New Roman" w:eastAsia="Times New Roman"/>
          <w:b w:val="0"/>
          <w:i w:val="0"/>
          <w:sz w:val="20"/>
        </w:rPr>
        <w:tab/>
        <w:t>479,108</w:t>
      </w:r>
    </w:p>
    <w:p>
      <w:pPr>
        <w:tabs>
          <w:tab w:pos="6803" w:val="right"/>
          <w:tab w:pos="9071" w:val="right"/>
        </w:tabs>
        <w:spacing w:before="20" w:after="20"/>
        <w:ind w:left="283"/>
      </w:pPr>
      <w:r>
        <w:rPr>
          <w:rFonts w:ascii="Times New Roman" w:hAnsi="Times New Roman" w:eastAsia="Times New Roman"/>
          <w:b w:val="0"/>
          <w:i w:val="0"/>
          <w:sz w:val="20"/>
        </w:rPr>
        <w:t>Less: Accumulated depreciation</w:t>
      </w:r>
      <w:r>
        <w:rPr>
          <w:rFonts w:ascii="Times New Roman" w:hAnsi="Times New Roman" w:eastAsia="Times New Roman"/>
          <w:b w:val="0"/>
          <w:i w:val="0"/>
          <w:sz w:val="20"/>
        </w:rPr>
        <w:tab/>
        <w:t>(364,780)</w:t>
      </w:r>
    </w:p>
    <w:p>
      <w:pPr>
        <w:tabs>
          <w:tab w:pos="6803" w:val="right"/>
          <w:tab w:pos="9071" w:val="right"/>
        </w:tabs>
        <w:spacing w:before="20" w:after="20"/>
        <w:ind w:left="283"/>
      </w:pPr>
      <w:r>
        <w:rPr>
          <w:rFonts w:ascii="Times New Roman" w:hAnsi="Times New Roman" w:eastAsia="Times New Roman"/>
          <w:b w:val="0"/>
          <w:i w:val="0"/>
          <w:sz w:val="20"/>
        </w:rPr>
        <w:t>Plant and equipment</w:t>
      </w:r>
      <w:r>
        <w:rPr>
          <w:rFonts w:ascii="Times New Roman" w:hAnsi="Times New Roman" w:eastAsia="Times New Roman"/>
          <w:b w:val="0"/>
          <w:i w:val="0"/>
          <w:sz w:val="20"/>
        </w:rPr>
        <w:tab/>
        <w:t>164,511</w:t>
      </w:r>
    </w:p>
    <w:p>
      <w:pPr>
        <w:tabs>
          <w:tab w:pos="6803" w:val="right"/>
          <w:tab w:pos="9071" w:val="right"/>
        </w:tabs>
        <w:spacing w:before="20" w:after="20"/>
        <w:ind w:left="283"/>
      </w:pPr>
      <w:r>
        <w:rPr>
          <w:rFonts w:ascii="Times New Roman" w:hAnsi="Times New Roman" w:eastAsia="Times New Roman"/>
          <w:b w:val="0"/>
          <w:i w:val="0"/>
          <w:sz w:val="20"/>
        </w:rPr>
        <w:t>Less: Accumulated depreciation</w:t>
      </w:r>
      <w:r>
        <w:rPr>
          <w:rFonts w:ascii="Times New Roman" w:hAnsi="Times New Roman" w:eastAsia="Times New Roman"/>
          <w:b w:val="0"/>
          <w:i w:val="0"/>
          <w:sz w:val="20"/>
        </w:rPr>
        <w:tab/>
        <w:t>(115,975)</w:t>
      </w:r>
    </w:p>
    <w:p>
      <w:pPr>
        <w:tabs>
          <w:tab w:pos="6803" w:val="right"/>
          <w:tab w:pos="9071" w:val="right"/>
        </w:tabs>
        <w:spacing w:before="20" w:after="20"/>
        <w:ind w:left="283"/>
      </w:pPr>
      <w:r>
        <w:rPr>
          <w:rFonts w:ascii="Times New Roman" w:hAnsi="Times New Roman" w:eastAsia="Times New Roman"/>
          <w:b w:val="0"/>
          <w:i w:val="0"/>
          <w:sz w:val="20"/>
        </w:rPr>
        <w:t>Office equipment</w:t>
      </w:r>
      <w:r>
        <w:rPr>
          <w:rFonts w:ascii="Times New Roman" w:hAnsi="Times New Roman" w:eastAsia="Times New Roman"/>
          <w:b w:val="0"/>
          <w:i w:val="0"/>
          <w:sz w:val="20"/>
        </w:rPr>
        <w:tab/>
        <w:t>16,008</w:t>
      </w:r>
    </w:p>
    <w:p>
      <w:pPr>
        <w:tabs>
          <w:tab w:pos="6803" w:val="right"/>
          <w:tab w:pos="9071" w:val="right"/>
        </w:tabs>
        <w:spacing w:before="20" w:after="20"/>
        <w:ind w:left="283"/>
      </w:pPr>
      <w:r>
        <w:rPr>
          <w:rFonts w:ascii="Times New Roman" w:hAnsi="Times New Roman" w:eastAsia="Times New Roman"/>
          <w:b w:val="0"/>
          <w:i w:val="0"/>
          <w:sz w:val="20"/>
        </w:rPr>
        <w:t>Less: Accumulated amortisation</w:t>
      </w:r>
      <w:r>
        <w:rPr>
          <w:rFonts w:ascii="Times New Roman" w:hAnsi="Times New Roman" w:eastAsia="Times New Roman"/>
          <w:b w:val="0"/>
          <w:i w:val="0"/>
          <w:sz w:val="20"/>
        </w:rPr>
        <w:tab/>
        <w:t>(15,664)</w:t>
      </w:r>
    </w:p>
    <w:p>
      <w:pPr>
        <w:tabs>
          <w:tab w:pos="6803" w:val="right"/>
          <w:tab w:pos="9071" w:val="right"/>
        </w:tabs>
        <w:spacing w:before="20" w:after="20"/>
        <w:ind w:left="283"/>
      </w:pPr>
      <w:r>
        <w:rPr>
          <w:rFonts w:ascii="Times New Roman" w:hAnsi="Times New Roman" w:eastAsia="Times New Roman"/>
          <w:b w:val="0"/>
          <w:i w:val="0"/>
          <w:sz w:val="20"/>
        </w:rPr>
        <w:t>Motor vehicles - At cost</w:t>
      </w:r>
      <w:r>
        <w:rPr>
          <w:rFonts w:ascii="Times New Roman" w:hAnsi="Times New Roman" w:eastAsia="Times New Roman"/>
          <w:b w:val="0"/>
          <w:i w:val="0"/>
          <w:sz w:val="20"/>
        </w:rPr>
        <w:tab/>
        <w:t>52,447</w:t>
      </w:r>
    </w:p>
    <w:p>
      <w:pPr>
        <w:tabs>
          <w:tab w:pos="6803" w:val="right"/>
          <w:tab w:pos="9071" w:val="right"/>
        </w:tabs>
        <w:spacing w:before="20" w:after="20"/>
        <w:ind w:left="283"/>
      </w:pPr>
      <w:r>
        <w:rPr>
          <w:rFonts w:ascii="Times New Roman" w:hAnsi="Times New Roman" w:eastAsia="Times New Roman"/>
          <w:b w:val="0"/>
          <w:i w:val="0"/>
          <w:sz w:val="20"/>
        </w:rPr>
        <w:t>Less: Accumulated depreciation</w:t>
      </w:r>
      <w:r>
        <w:rPr>
          <w:rFonts w:ascii="Times New Roman" w:hAnsi="Times New Roman" w:eastAsia="Times New Roman"/>
          <w:b w:val="0"/>
          <w:i w:val="0"/>
          <w:sz w:val="20"/>
        </w:rPr>
        <w:tab/>
        <w:t>(33,895)</w:t>
      </w:r>
    </w:p>
    <w:p>
      <w:pPr>
        <w:tabs>
          <w:tab w:pos="6803" w:val="right"/>
          <w:tab w:pos="9071" w:val="right"/>
        </w:tabs>
        <w:spacing w:before="20" w:after="20"/>
      </w:pPr>
      <w:r>
        <w:rPr>
          <w:rFonts w:ascii="Times New Roman" w:hAnsi="Times New Roman" w:eastAsia="Times New Roman"/>
          <w:b w:val="0"/>
          <w:i w:val="0"/>
          <w:sz w:val="20"/>
        </w:rPr>
      </w:r>
      <w:r>
        <w:rPr>
          <w:rFonts w:ascii="Times New Roman" w:hAnsi="Times New Roman" w:eastAsia="Times New Roman"/>
          <w:b w:val="0"/>
          <w:i w:val="0"/>
          <w:sz w:val="20"/>
        </w:rPr>
        <w:tab/>
        <w:t>181,760</w:t>
      </w:r>
    </w:p>
    <w:p>
      <w:pPr>
        <w:tabs>
          <w:tab w:pos="6803" w:val="right"/>
          <w:tab w:pos="9071" w:val="right"/>
        </w:tabs>
        <w:spacing w:before="20" w:after="20"/>
        <w:ind w:left="283"/>
      </w:pPr>
      <w:r>
        <w:rPr>
          <w:rFonts w:ascii="Times New Roman" w:hAnsi="Times New Roman" w:eastAsia="Times New Roman"/>
          <w:b w:val="0"/>
          <w:i w:val="0"/>
          <w:sz w:val="20"/>
        </w:rPr>
      </w:r>
      <w:r>
        <w:rPr>
          <w:rFonts w:ascii="Times New Roman" w:hAnsi="Times New Roman" w:eastAsia="Times New Roman"/>
          <w:b w:val="0"/>
          <w:i w:val="0"/>
          <w:sz w:val="20"/>
        </w:rPr>
        <w:tab/>
        <w:t>466,754</w:t>
      </w:r>
    </w:p>
    <w:p>
      <w:pPr>
        <w:tabs>
          <w:tab w:pos="6803" w:val="right"/>
          <w:tab w:pos="9071" w:val="right"/>
        </w:tabs>
        <w:spacing w:before="20" w:after="20"/>
        <w:ind w:left="283"/>
      </w:pPr>
      <w:r>
        <w:rPr>
          <w:rFonts w:ascii="Times New Roman" w:hAnsi="Times New Roman" w:eastAsia="Times New Roman"/>
          <w:b w:val="0"/>
          <w:i w:val="0"/>
          <w:sz w:val="20"/>
        </w:rPr>
        <w:t>Accurals</w:t>
      </w:r>
      <w:r>
        <w:rPr>
          <w:rFonts w:ascii="Times New Roman" w:hAnsi="Times New Roman" w:eastAsia="Times New Roman"/>
          <w:b w:val="0"/>
          <w:i w:val="0"/>
          <w:sz w:val="20"/>
        </w:rPr>
        <w:tab/>
        <w:t>(2,613)</w:t>
      </w:r>
    </w:p>
    <w:p>
      <w:pPr>
        <w:tabs>
          <w:tab w:pos="6803" w:val="right"/>
          <w:tab w:pos="9071" w:val="right"/>
        </w:tabs>
        <w:spacing w:before="20" w:after="20"/>
        <w:ind w:left="283"/>
      </w:pPr>
      <w:r>
        <w:rPr>
          <w:rFonts w:ascii="Times New Roman" w:hAnsi="Times New Roman" w:eastAsia="Times New Roman"/>
          <w:b w:val="0"/>
          <w:i w:val="0"/>
          <w:sz w:val="20"/>
        </w:rPr>
        <w:t>Clearing</w:t>
      </w:r>
      <w:r>
        <w:rPr>
          <w:rFonts w:ascii="Times New Roman" w:hAnsi="Times New Roman" w:eastAsia="Times New Roman"/>
          <w:b w:val="0"/>
          <w:i w:val="0"/>
          <w:sz w:val="20"/>
        </w:rPr>
        <w:tab/>
        <w:t>55,751</w:t>
      </w:r>
    </w:p>
    <w:p>
      <w:pPr>
        <w:tabs>
          <w:tab w:pos="6803" w:val="right"/>
          <w:tab w:pos="9071" w:val="right"/>
        </w:tabs>
        <w:spacing w:before="20" w:after="20"/>
      </w:pPr>
      <w:r>
        <w:rPr>
          <w:rFonts w:ascii="Times New Roman" w:hAnsi="Times New Roman" w:eastAsia="Times New Roman"/>
          <w:b/>
          <w:i w:val="0"/>
          <w:sz w:val="20"/>
        </w:rPr>
        <w:t>Total Non-Current Assets</w:t>
      </w:r>
      <w:r>
        <w:rPr>
          <w:rFonts w:ascii="Times New Roman" w:hAnsi="Times New Roman" w:eastAsia="Times New Roman"/>
          <w:b/>
          <w:i w:val="0"/>
          <w:sz w:val="20"/>
        </w:rPr>
        <w:tab/>
        <w:t>2,512,889</w:t>
      </w:r>
    </w:p>
    <w:p>
      <w:pPr>
        <w:spacing w:after="40"/>
      </w:pPr>
    </w:p>
    <w:p>
      <w:pPr>
        <w:tabs>
          <w:tab w:pos="6803" w:val="right"/>
          <w:tab w:pos="9071" w:val="right"/>
        </w:tabs>
        <w:spacing w:before="20" w:after="20"/>
      </w:pPr>
      <w:r>
        <w:rPr>
          <w:rFonts w:ascii="Times New Roman" w:hAnsi="Times New Roman" w:eastAsia="Times New Roman"/>
          <w:b/>
          <w:i w:val="0"/>
          <w:sz w:val="20"/>
        </w:rPr>
        <w:t>Total Assets</w:t>
      </w:r>
      <w:r>
        <w:rPr>
          <w:rFonts w:ascii="Times New Roman" w:hAnsi="Times New Roman" w:eastAsia="Times New Roman"/>
          <w:b/>
          <w:i w:val="0"/>
          <w:sz w:val="20"/>
        </w:rPr>
        <w:tab/>
        <w:t>2,690,824</w:t>
      </w:r>
    </w:p>
    <w:p>
      <w:pPr>
        <w:tabs>
          <w:tab w:pos="6803" w:val="right"/>
          <w:tab w:pos="9071" w:val="right"/>
        </w:tabs>
        <w:spacing w:before="160" w:after="80"/>
      </w:pPr>
      <w:r>
        <w:rPr>
          <w:rFonts w:ascii="Times New Roman" w:hAnsi="Times New Roman" w:eastAsia="Times New Roman"/>
          <w:b/>
          <w:i w:val="0"/>
          <w:sz w:val="24"/>
        </w:rPr>
        <w:t>Current Liabilities</w:t>
      </w:r>
    </w:p>
    <w:p>
      <w:pPr>
        <w:tabs>
          <w:tab w:pos="6803" w:val="right"/>
          <w:tab w:pos="9071" w:val="right"/>
        </w:tabs>
        <w:spacing w:before="160" w:after="80"/>
      </w:pPr>
      <w:r>
        <w:rPr>
          <w:rFonts w:ascii="Times New Roman" w:hAnsi="Times New Roman" w:eastAsia="Times New Roman"/>
          <w:b/>
          <w:i w:val="0"/>
          <w:sz w:val="20"/>
        </w:rPr>
        <w:t>Payables</w:t>
      </w:r>
    </w:p>
    <w:p>
      <w:pPr>
        <w:tabs>
          <w:tab w:pos="6803" w:val="right"/>
          <w:tab w:pos="9071" w:val="right"/>
        </w:tabs>
        <w:spacing w:before="20" w:after="20"/>
        <w:ind w:left="283"/>
      </w:pPr>
      <w:r>
        <w:rPr>
          <w:rFonts w:ascii="Times New Roman" w:hAnsi="Times New Roman" w:eastAsia="Times New Roman"/>
          <w:b w:val="0"/>
          <w:i w:val="0"/>
          <w:sz w:val="20"/>
        </w:rPr>
        <w:t>Trade creditors</w:t>
      </w:r>
      <w:r>
        <w:rPr>
          <w:rFonts w:ascii="Times New Roman" w:hAnsi="Times New Roman" w:eastAsia="Times New Roman"/>
          <w:b w:val="0"/>
          <w:i w:val="0"/>
          <w:sz w:val="20"/>
        </w:rPr>
        <w:tab/>
        <w:t>190,006</w:t>
      </w:r>
    </w:p>
    <w:p>
      <w:pPr>
        <w:tabs>
          <w:tab w:pos="6803" w:val="right"/>
          <w:tab w:pos="9071" w:val="right"/>
        </w:tabs>
        <w:spacing w:before="20" w:after="20"/>
        <w:ind w:left="283"/>
      </w:pPr>
      <w:r>
        <w:rPr>
          <w:rFonts w:ascii="Times New Roman" w:hAnsi="Times New Roman" w:eastAsia="Times New Roman"/>
          <w:b w:val="0"/>
          <w:i w:val="0"/>
          <w:sz w:val="20"/>
        </w:rPr>
        <w:t>Credit card</w:t>
      </w:r>
      <w:r>
        <w:rPr>
          <w:rFonts w:ascii="Times New Roman" w:hAnsi="Times New Roman" w:eastAsia="Times New Roman"/>
          <w:b w:val="0"/>
          <w:i w:val="0"/>
          <w:sz w:val="20"/>
        </w:rPr>
        <w:tab/>
        <w:t>1,225</w:t>
      </w:r>
    </w:p>
    <w:p>
      <w:pPr>
        <w:tabs>
          <w:tab w:pos="6803" w:val="right"/>
          <w:tab w:pos="9071" w:val="right"/>
        </w:tabs>
        <w:spacing w:before="160" w:after="80"/>
      </w:pPr>
      <w:r>
        <w:rPr>
          <w:rFonts w:ascii="Times New Roman" w:hAnsi="Times New Roman" w:eastAsia="Times New Roman"/>
          <w:b/>
          <w:i w:val="0"/>
          <w:sz w:val="20"/>
        </w:rPr>
        <w:t>Current Tax Liabilities</w:t>
      </w:r>
    </w:p>
    <w:p>
      <w:pPr>
        <w:tabs>
          <w:tab w:pos="6803" w:val="right"/>
          <w:tab w:pos="9071" w:val="right"/>
        </w:tabs>
        <w:spacing w:before="20" w:after="20"/>
        <w:ind w:left="283"/>
      </w:pPr>
      <w:r>
        <w:rPr>
          <w:rFonts w:ascii="Times New Roman" w:hAnsi="Times New Roman" w:eastAsia="Times New Roman"/>
          <w:b w:val="0"/>
          <w:i w:val="0"/>
          <w:sz w:val="20"/>
        </w:rPr>
        <w:t>Taxation</w:t>
      </w:r>
      <w:r>
        <w:rPr>
          <w:rFonts w:ascii="Times New Roman" w:hAnsi="Times New Roman" w:eastAsia="Times New Roman"/>
          <w:b w:val="0"/>
          <w:i w:val="0"/>
          <w:sz w:val="20"/>
        </w:rPr>
        <w:tab/>
        <w:t>112,615</w:t>
      </w:r>
    </w:p>
    <w:p>
      <w:pPr>
        <w:tabs>
          <w:tab w:pos="6803" w:val="right"/>
          <w:tab w:pos="9071" w:val="right"/>
        </w:tabs>
        <w:spacing w:before="20" w:after="20"/>
        <w:ind w:left="283"/>
      </w:pPr>
      <w:r>
        <w:rPr>
          <w:rFonts w:ascii="Times New Roman" w:hAnsi="Times New Roman" w:eastAsia="Times New Roman"/>
          <w:b w:val="0"/>
          <w:i w:val="0"/>
          <w:sz w:val="20"/>
        </w:rPr>
        <w:t>Provision for payroll tax</w:t>
      </w:r>
      <w:r>
        <w:rPr>
          <w:rFonts w:ascii="Times New Roman" w:hAnsi="Times New Roman" w:eastAsia="Times New Roman"/>
          <w:b w:val="0"/>
          <w:i w:val="0"/>
          <w:sz w:val="20"/>
        </w:rPr>
        <w:tab/>
        <w:t>3,535</w:t>
      </w:r>
    </w:p>
    <w:p>
      <w:pPr>
        <w:tabs>
          <w:tab w:pos="6803" w:val="right"/>
          <w:tab w:pos="9071" w:val="right"/>
        </w:tabs>
        <w:spacing w:before="20" w:after="20"/>
        <w:ind w:left="283"/>
      </w:pPr>
      <w:r>
        <w:rPr>
          <w:rFonts w:ascii="Times New Roman" w:hAnsi="Times New Roman" w:eastAsia="Times New Roman"/>
          <w:b w:val="0"/>
          <w:i w:val="0"/>
          <w:sz w:val="20"/>
        </w:rPr>
        <w:t>GST payable control account</w:t>
      </w:r>
      <w:r>
        <w:rPr>
          <w:rFonts w:ascii="Times New Roman" w:hAnsi="Times New Roman" w:eastAsia="Times New Roman"/>
          <w:b w:val="0"/>
          <w:i w:val="0"/>
          <w:sz w:val="20"/>
        </w:rPr>
        <w:tab/>
        <w:t>33,488</w:t>
      </w:r>
    </w:p>
    <w:p>
      <w:pPr>
        <w:tabs>
          <w:tab w:pos="6803" w:val="right"/>
          <w:tab w:pos="9071" w:val="right"/>
        </w:tabs>
        <w:spacing w:before="160" w:after="80"/>
      </w:pPr>
      <w:r>
        <w:rPr>
          <w:rFonts w:ascii="Times New Roman" w:hAnsi="Times New Roman" w:eastAsia="Times New Roman"/>
          <w:b/>
          <w:i w:val="0"/>
          <w:sz w:val="20"/>
        </w:rPr>
        <w:t>Provisions</w:t>
      </w:r>
    </w:p>
    <w:p>
      <w:pPr>
        <w:tabs>
          <w:tab w:pos="6803" w:val="right"/>
          <w:tab w:pos="9071" w:val="right"/>
        </w:tabs>
        <w:spacing w:before="20" w:after="20"/>
        <w:ind w:left="283"/>
      </w:pPr>
      <w:r>
        <w:rPr>
          <w:rFonts w:ascii="Times New Roman" w:hAnsi="Times New Roman" w:eastAsia="Times New Roman"/>
          <w:b w:val="0"/>
          <w:i w:val="0"/>
          <w:sz w:val="20"/>
        </w:rPr>
        <w:t>Provision for LSL &amp; AL</w:t>
      </w:r>
      <w:r>
        <w:rPr>
          <w:rFonts w:ascii="Times New Roman" w:hAnsi="Times New Roman" w:eastAsia="Times New Roman"/>
          <w:b w:val="0"/>
          <w:i w:val="0"/>
          <w:sz w:val="20"/>
        </w:rPr>
        <w:tab/>
        <w:t>4,894</w:t>
      </w:r>
    </w:p>
    <w:p>
      <w:pPr>
        <w:tabs>
          <w:tab w:pos="6803" w:val="right"/>
          <w:tab w:pos="9071" w:val="right"/>
        </w:tabs>
        <w:spacing w:before="20" w:after="20"/>
        <w:ind w:left="283"/>
      </w:pPr>
      <w:r>
        <w:rPr>
          <w:rFonts w:ascii="Times New Roman" w:hAnsi="Times New Roman" w:eastAsia="Times New Roman"/>
          <w:b w:val="0"/>
          <w:i w:val="0"/>
          <w:sz w:val="20"/>
        </w:rPr>
      </w:r>
      <w:r>
        <w:rPr>
          <w:rFonts w:ascii="Times New Roman" w:hAnsi="Times New Roman" w:eastAsia="Times New Roman"/>
          <w:b w:val="0"/>
          <w:i w:val="0"/>
          <w:sz w:val="20"/>
        </w:rPr>
        <w:tab/>
        <w:t>-</w:t>
      </w:r>
    </w:p>
    <w:p>
      <w:pPr>
        <w:tabs>
          <w:tab w:pos="6803" w:val="right"/>
          <w:tab w:pos="9071" w:val="right"/>
        </w:tabs>
        <w:spacing w:before="20" w:after="20"/>
        <w:ind w:left="283"/>
      </w:pPr>
      <w:r>
        <w:rPr>
          <w:rFonts w:ascii="Times New Roman" w:hAnsi="Times New Roman" w:eastAsia="Times New Roman"/>
          <w:b w:val="0"/>
          <w:i w:val="0"/>
          <w:sz w:val="20"/>
        </w:rPr>
      </w:r>
      <w:r>
        <w:rPr>
          <w:rFonts w:ascii="Times New Roman" w:hAnsi="Times New Roman" w:eastAsia="Times New Roman"/>
          <w:b w:val="0"/>
          <w:i w:val="0"/>
          <w:sz w:val="20"/>
        </w:rPr>
        <w:tab/>
        <w:t>16,254</w:t>
      </w:r>
    </w:p>
    <w:p>
      <w:pPr>
        <w:tabs>
          <w:tab w:pos="6803" w:val="right"/>
          <w:tab w:pos="9071" w:val="right"/>
        </w:tabs>
        <w:spacing w:before="20" w:after="20"/>
        <w:ind w:left="283"/>
      </w:pPr>
      <w:r>
        <w:rPr>
          <w:rFonts w:ascii="Times New Roman" w:hAnsi="Times New Roman" w:eastAsia="Times New Roman"/>
          <w:b w:val="0"/>
          <w:i w:val="0"/>
          <w:sz w:val="20"/>
        </w:rPr>
      </w:r>
      <w:r>
        <w:rPr>
          <w:rFonts w:ascii="Times New Roman" w:hAnsi="Times New Roman" w:eastAsia="Times New Roman"/>
          <w:b w:val="0"/>
          <w:i w:val="0"/>
          <w:sz w:val="20"/>
        </w:rPr>
        <w:tab/>
        <w:t>25,281</w:t>
      </w:r>
    </w:p>
    <w:p>
      <w:pPr>
        <w:tabs>
          <w:tab w:pos="6803" w:val="right"/>
          <w:tab w:pos="9071" w:val="right"/>
        </w:tabs>
        <w:spacing w:before="20" w:after="20"/>
        <w:ind w:left="283"/>
      </w:pPr>
      <w:r>
        <w:rPr>
          <w:rFonts w:ascii="Times New Roman" w:hAnsi="Times New Roman" w:eastAsia="Times New Roman"/>
          <w:b w:val="0"/>
          <w:i w:val="0"/>
          <w:sz w:val="20"/>
        </w:rPr>
        <w:t>Accruals</w:t>
      </w:r>
      <w:r>
        <w:rPr>
          <w:rFonts w:ascii="Times New Roman" w:hAnsi="Times New Roman" w:eastAsia="Times New Roman"/>
          <w:b w:val="0"/>
          <w:i w:val="0"/>
          <w:sz w:val="20"/>
        </w:rPr>
        <w:tab/>
        <w:t>-</w:t>
      </w:r>
    </w:p>
    <w:p>
      <w:pPr>
        <w:tabs>
          <w:tab w:pos="6803" w:val="right"/>
          <w:tab w:pos="9071" w:val="right"/>
        </w:tabs>
        <w:spacing w:before="20" w:after="20"/>
        <w:ind w:left="283"/>
      </w:pPr>
      <w:r>
        <w:rPr>
          <w:rFonts w:ascii="Times New Roman" w:hAnsi="Times New Roman" w:eastAsia="Times New Roman"/>
          <w:b w:val="0"/>
          <w:i w:val="0"/>
          <w:sz w:val="20"/>
        </w:rPr>
        <w:t>Deposits Received</w:t>
      </w:r>
      <w:r>
        <w:rPr>
          <w:rFonts w:ascii="Times New Roman" w:hAnsi="Times New Roman" w:eastAsia="Times New Roman"/>
          <w:b w:val="0"/>
          <w:i w:val="0"/>
          <w:sz w:val="20"/>
        </w:rPr>
        <w:tab/>
        <w:t>65,902</w:t>
      </w:r>
    </w:p>
    <w:p>
      <w:pPr>
        <w:tabs>
          <w:tab w:pos="6803" w:val="right"/>
          <w:tab w:pos="9071" w:val="right"/>
        </w:tabs>
        <w:spacing w:before="20" w:after="20"/>
      </w:pPr>
      <w:r>
        <w:rPr>
          <w:rFonts w:ascii="Times New Roman" w:hAnsi="Times New Roman" w:eastAsia="Times New Roman"/>
          <w:b/>
          <w:i w:val="0"/>
          <w:sz w:val="20"/>
        </w:rPr>
        <w:t>Total Current Liabilities</w:t>
      </w:r>
      <w:r>
        <w:rPr>
          <w:rFonts w:ascii="Times New Roman" w:hAnsi="Times New Roman" w:eastAsia="Times New Roman"/>
          <w:b/>
          <w:i w:val="0"/>
          <w:sz w:val="20"/>
        </w:rPr>
        <w:tab/>
        <w:t>453,202</w:t>
      </w:r>
    </w:p>
    <w:p>
      <w:pPr>
        <w:tabs>
          <w:tab w:pos="6803" w:val="right"/>
          <w:tab w:pos="9071" w:val="right"/>
        </w:tabs>
        <w:spacing w:before="160" w:after="80"/>
      </w:pPr>
      <w:r>
        <w:rPr>
          <w:rFonts w:ascii="Times New Roman" w:hAnsi="Times New Roman" w:eastAsia="Times New Roman"/>
          <w:b/>
          <w:i w:val="0"/>
          <w:sz w:val="24"/>
        </w:rPr>
        <w:t>Non-Current Liabilities</w:t>
      </w:r>
    </w:p>
    <w:p>
      <w:pPr>
        <w:tabs>
          <w:tab w:pos="6803" w:val="right"/>
          <w:tab w:pos="9071" w:val="right"/>
        </w:tabs>
        <w:spacing w:before="160" w:after="80"/>
      </w:pPr>
      <w:r>
        <w:rPr>
          <w:rFonts w:ascii="Times New Roman" w:hAnsi="Times New Roman" w:eastAsia="Times New Roman"/>
          <w:b/>
          <w:i w:val="0"/>
          <w:sz w:val="20"/>
        </w:rPr>
        <w:t>Financial Liabilities</w:t>
      </w:r>
    </w:p>
    <w:p>
      <w:pPr>
        <w:spacing w:before="0" w:after="40"/>
        <w:jc w:val="left"/>
      </w:pPr>
      <w:r>
        <w:rPr>
          <w:rFonts w:ascii="Times New Roman" w:hAnsi="Times New Roman" w:eastAsia="Times New Roman"/>
          <w:b/>
          <w:i/>
          <w:sz w:val="20"/>
        </w:rPr>
        <w:t>Unsecured:</w:t>
      </w:r>
    </w:p>
    <w:p>
      <w:pPr>
        <w:tabs>
          <w:tab w:pos="6803" w:val="right"/>
          <w:tab w:pos="9071" w:val="right"/>
        </w:tabs>
        <w:spacing w:before="20" w:after="20"/>
        <w:ind w:left="283"/>
      </w:pPr>
      <w:r>
        <w:rPr>
          <w:rFonts w:ascii="Times New Roman" w:hAnsi="Times New Roman" w:eastAsia="Times New Roman"/>
          <w:b w:val="0"/>
          <w:i w:val="0"/>
          <w:sz w:val="20"/>
        </w:rPr>
        <w:t>Loan - Jim's Properties Unit Trust</w:t>
      </w:r>
      <w:r>
        <w:rPr>
          <w:rFonts w:ascii="Times New Roman" w:hAnsi="Times New Roman" w:eastAsia="Times New Roman"/>
          <w:b w:val="0"/>
          <w:i w:val="0"/>
          <w:sz w:val="20"/>
        </w:rPr>
        <w:tab/>
        <w:t>399,677</w:t>
      </w:r>
    </w:p>
    <w:p>
      <w:pPr>
        <w:tabs>
          <w:tab w:pos="6803" w:val="right"/>
          <w:tab w:pos="9071" w:val="right"/>
        </w:tabs>
        <w:spacing w:before="20" w:after="20"/>
        <w:ind w:left="283"/>
      </w:pPr>
      <w:r>
        <w:rPr>
          <w:rFonts w:ascii="Times New Roman" w:hAnsi="Times New Roman" w:eastAsia="Times New Roman"/>
          <w:b w:val="0"/>
          <w:i w:val="0"/>
          <w:sz w:val="20"/>
        </w:rPr>
        <w:t>Loan - Directors</w:t>
      </w:r>
      <w:r>
        <w:rPr>
          <w:rFonts w:ascii="Times New Roman" w:hAnsi="Times New Roman" w:eastAsia="Times New Roman"/>
          <w:b w:val="0"/>
          <w:i w:val="0"/>
          <w:sz w:val="20"/>
        </w:rPr>
        <w:tab/>
        <w:t>793,984</w:t>
      </w:r>
    </w:p>
    <w:p>
      <w:pPr>
        <w:tabs>
          <w:tab w:pos="6803" w:val="right"/>
          <w:tab w:pos="9071" w:val="right"/>
        </w:tabs>
        <w:spacing w:before="20" w:after="20"/>
      </w:pPr>
      <w:r>
        <w:rPr>
          <w:rFonts w:ascii="Times New Roman" w:hAnsi="Times New Roman" w:eastAsia="Times New Roman"/>
          <w:b/>
          <w:i w:val="0"/>
          <w:sz w:val="20"/>
        </w:rPr>
        <w:t>Total Non-Current Liabilities</w:t>
      </w:r>
      <w:r>
        <w:rPr>
          <w:rFonts w:ascii="Times New Roman" w:hAnsi="Times New Roman" w:eastAsia="Times New Roman"/>
          <w:b/>
          <w:i w:val="0"/>
          <w:sz w:val="20"/>
        </w:rPr>
        <w:tab/>
        <w:t>1,193,661</w:t>
      </w:r>
    </w:p>
    <w:p>
      <w:pPr>
        <w:spacing w:after="40"/>
      </w:pPr>
    </w:p>
    <w:p>
      <w:pPr>
        <w:tabs>
          <w:tab w:pos="6803" w:val="right"/>
          <w:tab w:pos="9071" w:val="right"/>
        </w:tabs>
        <w:spacing w:before="20" w:after="20"/>
      </w:pPr>
      <w:r>
        <w:rPr>
          <w:rFonts w:ascii="Times New Roman" w:hAnsi="Times New Roman" w:eastAsia="Times New Roman"/>
          <w:b/>
          <w:i w:val="0"/>
          <w:sz w:val="20"/>
        </w:rPr>
        <w:t>Total Liabilities</w:t>
      </w:r>
      <w:r>
        <w:rPr>
          <w:rFonts w:ascii="Times New Roman" w:hAnsi="Times New Roman" w:eastAsia="Times New Roman"/>
          <w:b/>
          <w:i w:val="0"/>
          <w:sz w:val="20"/>
        </w:rPr>
        <w:tab/>
        <w:t>1,646,862</w:t>
      </w:r>
    </w:p>
    <w:p>
      <w:pPr>
        <w:spacing w:after="40"/>
      </w:pPr>
    </w:p>
    <w:p>
      <w:pPr>
        <w:tabs>
          <w:tab w:pos="6803" w:val="right"/>
          <w:tab w:pos="9071" w:val="right"/>
        </w:tabs>
        <w:spacing w:before="20" w:after="20"/>
      </w:pPr>
      <w:r>
        <w:rPr>
          <w:rFonts w:ascii="Times New Roman" w:hAnsi="Times New Roman" w:eastAsia="Times New Roman"/>
          <w:b/>
          <w:i w:val="0"/>
          <w:sz w:val="20"/>
        </w:rPr>
        <w:t>Net Assets (Liabilities)</w:t>
      </w:r>
      <w:r>
        <w:rPr>
          <w:rFonts w:ascii="Times New Roman" w:hAnsi="Times New Roman" w:eastAsia="Times New Roman"/>
          <w:b/>
          <w:i w:val="0"/>
          <w:sz w:val="20"/>
        </w:rPr>
        <w:tab/>
        <w:t>1,043,961</w:t>
      </w:r>
    </w:p>
    <w:p>
      <w:pPr>
        <w:tabs>
          <w:tab w:pos="6803" w:val="right"/>
          <w:tab w:pos="9071" w:val="right"/>
        </w:tabs>
        <w:spacing w:before="160" w:after="80"/>
      </w:pPr>
      <w:r>
        <w:rPr>
          <w:rFonts w:ascii="Times New Roman" w:hAnsi="Times New Roman" w:eastAsia="Times New Roman"/>
          <w:b/>
          <w:i w:val="0"/>
          <w:sz w:val="24"/>
        </w:rPr>
        <w:t>Equity</w:t>
      </w:r>
    </w:p>
    <w:p>
      <w:pPr>
        <w:tabs>
          <w:tab w:pos="6803" w:val="right"/>
          <w:tab w:pos="9071" w:val="right"/>
        </w:tabs>
        <w:spacing w:before="20" w:after="20"/>
      </w:pPr>
      <w:r>
        <w:rPr>
          <w:rFonts w:ascii="Times New Roman" w:hAnsi="Times New Roman" w:eastAsia="Times New Roman"/>
          <w:b w:val="0"/>
          <w:i w:val="0"/>
          <w:sz w:val="20"/>
        </w:rPr>
        <w:t>Income tax on profit</w:t>
      </w:r>
      <w:r>
        <w:rPr>
          <w:rFonts w:ascii="Times New Roman" w:hAnsi="Times New Roman" w:eastAsia="Times New Roman"/>
          <w:b w:val="0"/>
          <w:i w:val="0"/>
          <w:sz w:val="20"/>
        </w:rPr>
        <w:tab/>
        <w:t>116,908</w:t>
      </w:r>
    </w:p>
    <w:p>
      <w:pPr>
        <w:tabs>
          <w:tab w:pos="6803" w:val="right"/>
          <w:tab w:pos="9071" w:val="right"/>
        </w:tabs>
        <w:spacing w:before="20" w:after="20"/>
      </w:pPr>
      <w:r>
        <w:rPr>
          <w:rFonts w:ascii="Times New Roman" w:hAnsi="Times New Roman" w:eastAsia="Times New Roman"/>
          <w:b w:val="0"/>
          <w:i w:val="0"/>
          <w:sz w:val="20"/>
        </w:rPr>
        <w:t>Dividends provided for or paid</w:t>
      </w:r>
      <w:r>
        <w:rPr>
          <w:rFonts w:ascii="Times New Roman" w:hAnsi="Times New Roman" w:eastAsia="Times New Roman"/>
          <w:b w:val="0"/>
          <w:i w:val="0"/>
          <w:sz w:val="20"/>
        </w:rPr>
        <w:tab/>
        <w:t>-</w:t>
      </w:r>
    </w:p>
    <w:p>
      <w:pPr>
        <w:tabs>
          <w:tab w:pos="6803" w:val="right"/>
          <w:tab w:pos="9071" w:val="right"/>
        </w:tabs>
        <w:spacing w:before="20" w:after="20"/>
      </w:pPr>
      <w:r>
        <w:rPr>
          <w:rFonts w:ascii="Times New Roman" w:hAnsi="Times New Roman" w:eastAsia="Times New Roman"/>
          <w:b w:val="0"/>
          <w:i w:val="0"/>
          <w:sz w:val="20"/>
        </w:rPr>
        <w:t>Retained Profits</w:t>
      </w:r>
      <w:r>
        <w:rPr>
          <w:rFonts w:ascii="Times New Roman" w:hAnsi="Times New Roman" w:eastAsia="Times New Roman"/>
          <w:b w:val="0"/>
          <w:i w:val="0"/>
          <w:sz w:val="20"/>
        </w:rPr>
        <w:tab/>
        <w:t>689,974</w:t>
      </w:r>
    </w:p>
    <w:p>
      <w:pPr>
        <w:tabs>
          <w:tab w:pos="6803" w:val="right"/>
          <w:tab w:pos="9071" w:val="right"/>
        </w:tabs>
        <w:spacing w:before="20" w:after="20"/>
      </w:pPr>
      <w:r>
        <w:rPr>
          <w:rFonts w:ascii="Times New Roman" w:hAnsi="Times New Roman" w:eastAsia="Times New Roman"/>
          <w:b w:val="0"/>
          <w:i w:val="0"/>
          <w:sz w:val="20"/>
        </w:rPr>
        <w:t>Issued &amp; paid up capital</w:t>
      </w:r>
      <w:r>
        <w:rPr>
          <w:rFonts w:ascii="Times New Roman" w:hAnsi="Times New Roman" w:eastAsia="Times New Roman"/>
          <w:b w:val="0"/>
          <w:i w:val="0"/>
          <w:sz w:val="20"/>
        </w:rPr>
        <w:tab/>
        <w:t>100</w:t>
      </w:r>
    </w:p>
    <w:p>
      <w:pPr>
        <w:tabs>
          <w:tab w:pos="6803" w:val="right"/>
          <w:tab w:pos="9071" w:val="right"/>
        </w:tabs>
        <w:spacing w:before="20" w:after="20"/>
      </w:pPr>
      <w:r>
        <w:rPr>
          <w:rFonts w:ascii="Times New Roman" w:hAnsi="Times New Roman" w:eastAsia="Times New Roman"/>
          <w:b/>
          <w:i w:val="0"/>
          <w:sz w:val="20"/>
        </w:rPr>
        <w:t>Total Equity</w:t>
      </w:r>
      <w:r>
        <w:rPr>
          <w:rFonts w:ascii="Times New Roman" w:hAnsi="Times New Roman" w:eastAsia="Times New Roman"/>
          <w:b/>
          <w:i w:val="0"/>
          <w:sz w:val="20"/>
        </w:rPr>
        <w:tab/>
        <w:t>806,982</w:t>
      </w:r>
    </w:p>
    <w:p>
      <w:pPr>
        <w:spacing w:before="40" w:after="40"/>
        <w:pBdr>
          <w:bottom w:val="single" w:sz="12" w:space="1" w:color="000000"/>
        </w:pBdr>
      </w:pPr>
    </w:p>
    <w:p>
      <w:pPr>
        <w:spacing w:before="0" w:after="40"/>
        <w:jc w:val="center"/>
      </w:pPr>
      <w:r>
        <w:rPr>
          <w:rFonts w:ascii="Times New Roman" w:hAnsi="Times New Roman" w:eastAsia="Times New Roman"/>
          <w:b/>
          <w:i w:val="0"/>
          <w:sz w:val="16"/>
        </w:rPr>
        <w:t>These financial statements are unaudited. They must be read in conjunction with the attached Accountant's Compilation Report and Notes which form part of these financial statements.</w:t>
      </w:r>
    </w:p>
    <w:p>
      <w:r>
        <w:br w:type="page"/>
      </w:r>
    </w:p>
    <w:p>
      <w:pPr>
        <w:spacing w:before="0" w:after="0"/>
        <w:jc w:val="center"/>
      </w:pPr>
      <w:r>
        <w:rPr>
          <w:rFonts w:ascii="Times New Roman" w:hAnsi="Times New Roman" w:eastAsia="Times New Roman"/>
          <w:b/>
          <w:i w:val="0"/>
          <w:sz w:val="28"/>
        </w:rPr>
        <w:t>Foothills Conference Centre Pty Ltd</w:t>
      </w:r>
    </w:p>
    <w:p>
      <w:pPr>
        <w:spacing w:before="0" w:after="0"/>
        <w:jc w:val="center"/>
      </w:pPr>
      <w:r>
        <w:rPr>
          <w:rFonts w:ascii="Times New Roman" w:hAnsi="Times New Roman" w:eastAsia="Times New Roman"/>
          <w:b/>
          <w:i w:val="0"/>
          <w:sz w:val="22"/>
        </w:rPr>
        <w:t>ABN 92 164 525 311</w:t>
      </w:r>
    </w:p>
    <w:p>
      <w:pPr>
        <w:spacing w:before="0" w:after="0"/>
        <w:jc w:val="center"/>
      </w:pPr>
      <w:r>
        <w:rPr>
          <w:rFonts w:ascii="Times New Roman" w:hAnsi="Times New Roman" w:eastAsia="Times New Roman"/>
          <w:b/>
          <w:i w:val="0"/>
          <w:sz w:val="24"/>
        </w:rPr>
        <w:t>Profit and Loss Statement</w:t>
      </w:r>
    </w:p>
    <w:p>
      <w:pPr>
        <w:spacing w:before="0" w:after="40"/>
        <w:jc w:val="center"/>
      </w:pPr>
      <w:r>
        <w:rPr>
          <w:rFonts w:ascii="Times New Roman" w:hAnsi="Times New Roman" w:eastAsia="Times New Roman"/>
          <w:b/>
          <w:i w:val="0"/>
          <w:sz w:val="22"/>
        </w:rPr>
        <w:t>For the year ended 30 June 2025</w:t>
      </w:r>
    </w:p>
    <w:p>
      <w:pPr>
        <w:spacing w:before="40" w:after="40"/>
        <w:pBdr>
          <w:bottom w:val="single" w:sz="12" w:space="1" w:color="000000"/>
        </w:pBdr>
      </w:pPr>
    </w:p>
    <w:p>
      <w:pPr>
        <w:tabs>
          <w:tab w:pos="9071" w:val="right"/>
        </w:tabs>
        <w:spacing w:after="0"/>
      </w:pPr>
      <w:r>
        <w:rPr>
          <w:rFonts w:ascii="Times New Roman" w:hAnsi="Times New Roman" w:eastAsia="Times New Roman"/>
          <w:b/>
          <w:i w:val="0"/>
          <w:sz w:val="20"/>
        </w:rPr>
        <w:tab/>
        <w:t>2025</w:t>
      </w:r>
    </w:p>
    <w:p>
      <w:pPr>
        <w:tabs>
          <w:tab w:pos="9071" w:val="right"/>
        </w:tabs>
        <w:spacing w:after="0"/>
      </w:pPr>
      <w:r>
        <w:rPr>
          <w:rFonts w:ascii="Times New Roman" w:hAnsi="Times New Roman" w:eastAsia="Times New Roman"/>
          <w:b w:val="0"/>
          <w:i w:val="0"/>
          <w:sz w:val="20"/>
        </w:rPr>
        <w:tab/>
        <w:t>$</w:t>
      </w:r>
    </w:p>
    <w:p>
      <w:pPr>
        <w:spacing w:before="40" w:after="40"/>
        <w:pBdr>
          <w:bottom w:val="single" w:sz="12" w:space="1" w:color="000000"/>
        </w:pBdr>
      </w:pPr>
    </w:p>
    <w:p>
      <w:pPr>
        <w:tabs>
          <w:tab w:pos="6803" w:val="right"/>
          <w:tab w:pos="9071" w:val="right"/>
        </w:tabs>
        <w:spacing w:before="20" w:after="20"/>
      </w:pPr>
      <w:r>
        <w:rPr>
          <w:rFonts w:ascii="Times New Roman" w:hAnsi="Times New Roman" w:eastAsia="Times New Roman"/>
          <w:b w:val="0"/>
          <w:i w:val="0"/>
          <w:sz w:val="20"/>
        </w:rPr>
        <w:t>Operating profit before income tax</w:t>
      </w:r>
      <w:r>
        <w:rPr>
          <w:rFonts w:ascii="Times New Roman" w:hAnsi="Times New Roman" w:eastAsia="Times New Roman"/>
          <w:b w:val="0"/>
          <w:i w:val="0"/>
          <w:sz w:val="20"/>
        </w:rPr>
        <w:tab/>
        <w:t>470,796</w:t>
      </w:r>
    </w:p>
    <w:p>
      <w:pPr>
        <w:tabs>
          <w:tab w:pos="6803" w:val="right"/>
          <w:tab w:pos="9071" w:val="right"/>
        </w:tabs>
        <w:spacing w:before="20" w:after="20"/>
      </w:pPr>
      <w:r>
        <w:rPr>
          <w:rFonts w:ascii="Times New Roman" w:hAnsi="Times New Roman" w:eastAsia="Times New Roman"/>
          <w:b/>
          <w:i w:val="0"/>
          <w:sz w:val="20"/>
        </w:rPr>
        <w:t>Operating profit after income tax</w:t>
      </w:r>
      <w:r>
        <w:rPr>
          <w:rFonts w:ascii="Times New Roman" w:hAnsi="Times New Roman" w:eastAsia="Times New Roman"/>
          <w:b/>
          <w:i w:val="0"/>
          <w:sz w:val="20"/>
        </w:rPr>
        <w:tab/>
        <w:t>470,796</w:t>
      </w:r>
    </w:p>
    <w:p>
      <w:pPr>
        <w:spacing w:after="80"/>
      </w:pPr>
    </w:p>
    <w:p>
      <w:pPr>
        <w:tabs>
          <w:tab w:pos="6803" w:val="right"/>
          <w:tab w:pos="9071" w:val="right"/>
        </w:tabs>
        <w:spacing w:before="20" w:after="20"/>
      </w:pPr>
      <w:r>
        <w:rPr>
          <w:rFonts w:ascii="Times New Roman" w:hAnsi="Times New Roman" w:eastAsia="Times New Roman"/>
          <w:b w:val="0"/>
          <w:i w:val="0"/>
          <w:sz w:val="20"/>
        </w:rPr>
        <w:t>Retained profits at beginning of year</w:t>
      </w:r>
      <w:r>
        <w:rPr>
          <w:rFonts w:ascii="Times New Roman" w:hAnsi="Times New Roman" w:eastAsia="Times New Roman"/>
          <w:b w:val="0"/>
          <w:i w:val="0"/>
          <w:sz w:val="20"/>
        </w:rPr>
        <w:tab/>
        <w:t>219,178</w:t>
      </w:r>
    </w:p>
    <w:p>
      <w:pPr>
        <w:tabs>
          <w:tab w:pos="6803" w:val="right"/>
          <w:tab w:pos="9071" w:val="right"/>
        </w:tabs>
        <w:spacing w:before="20" w:after="20"/>
      </w:pPr>
      <w:r>
        <w:rPr>
          <w:rFonts w:ascii="Times New Roman" w:hAnsi="Times New Roman" w:eastAsia="Times New Roman"/>
          <w:b/>
          <w:i w:val="0"/>
          <w:sz w:val="20"/>
        </w:rPr>
        <w:t>Total available for appropriation</w:t>
      </w:r>
      <w:r>
        <w:rPr>
          <w:rFonts w:ascii="Times New Roman" w:hAnsi="Times New Roman" w:eastAsia="Times New Roman"/>
          <w:b/>
          <w:i w:val="0"/>
          <w:sz w:val="20"/>
        </w:rPr>
        <w:tab/>
        <w:t>689,974</w:t>
      </w:r>
    </w:p>
    <w:p>
      <w:pPr>
        <w:tabs>
          <w:tab w:pos="6803" w:val="right"/>
          <w:tab w:pos="9071" w:val="right"/>
        </w:tabs>
        <w:spacing w:before="20" w:after="20"/>
      </w:pPr>
      <w:r>
        <w:rPr>
          <w:rFonts w:ascii="Times New Roman" w:hAnsi="Times New Roman" w:eastAsia="Times New Roman"/>
          <w:b w:val="0"/>
          <w:i w:val="0"/>
          <w:sz w:val="20"/>
        </w:rPr>
        <w:t>Dividends provided for or paid</w:t>
      </w:r>
      <w:r>
        <w:rPr>
          <w:rFonts w:ascii="Times New Roman" w:hAnsi="Times New Roman" w:eastAsia="Times New Roman"/>
          <w:b w:val="0"/>
          <w:i w:val="0"/>
          <w:sz w:val="20"/>
        </w:rPr>
        <w:tab/>
        <w:t>-</w:t>
      </w:r>
    </w:p>
    <w:p>
      <w:pPr>
        <w:tabs>
          <w:tab w:pos="6803" w:val="right"/>
          <w:tab w:pos="9071" w:val="right"/>
        </w:tabs>
        <w:spacing w:before="20" w:after="20"/>
      </w:pPr>
      <w:r>
        <w:rPr>
          <w:rFonts w:ascii="Times New Roman" w:hAnsi="Times New Roman" w:eastAsia="Times New Roman"/>
          <w:b/>
          <w:i w:val="0"/>
          <w:sz w:val="20"/>
        </w:rPr>
        <w:t>Retained profits at end of year</w:t>
      </w:r>
      <w:r>
        <w:rPr>
          <w:rFonts w:ascii="Times New Roman" w:hAnsi="Times New Roman" w:eastAsia="Times New Roman"/>
          <w:b/>
          <w:i w:val="0"/>
          <w:sz w:val="20"/>
        </w:rPr>
        <w:tab/>
        <w:t>689,974</w:t>
      </w:r>
    </w:p>
    <w:p>
      <w:pPr>
        <w:spacing w:before="40" w:after="40"/>
        <w:pBdr>
          <w:bottom w:val="single" w:sz="12" w:space="1" w:color="000000"/>
        </w:pBdr>
      </w:pPr>
    </w:p>
    <w:p>
      <w:pPr>
        <w:spacing w:before="0" w:after="40"/>
        <w:jc w:val="center"/>
      </w:pPr>
      <w:r>
        <w:rPr>
          <w:rFonts w:ascii="Times New Roman" w:hAnsi="Times New Roman" w:eastAsia="Times New Roman"/>
          <w:b/>
          <w:i w:val="0"/>
          <w:sz w:val="16"/>
        </w:rPr>
        <w:t>These financial statements are unaudited. They must be read in conjunction with the attached Accountant's Compilation Report and Notes which form part of these financial statements.</w:t>
      </w:r>
    </w:p>
    <w:p>
      <w:r>
        <w:br w:type="page"/>
      </w:r>
    </w:p>
    <w:p>
      <w:pPr>
        <w:sectPr>
          <w:pgSz w:w="12240" w:h="15840"/>
          <w:pgMar w:top="1440" w:right="1440" w:bottom="1440" w:left="1440" w:header="720" w:footer="720" w:gutter="0"/>
          <w:cols w:space="720"/>
          <w:docGrid w:linePitch="360"/>
        </w:sectPr>
      </w:pPr>
    </w:p>
    <w:p>
      <w:pPr>
        <w:spacing w:before="0" w:after="0"/>
        <w:jc w:val="center"/>
      </w:pPr>
      <w:r>
        <w:rPr>
          <w:rFonts w:ascii="Times New Roman" w:hAnsi="Times New Roman" w:eastAsia="Times New Roman"/>
          <w:b/>
          <w:i w:val="0"/>
          <w:sz w:val="28"/>
        </w:rPr>
        <w:t>Foothills Conference Centre Pty Ltd</w:t>
      </w:r>
    </w:p>
    <w:p>
      <w:pPr>
        <w:spacing w:before="0" w:after="0"/>
        <w:jc w:val="center"/>
      </w:pPr>
      <w:r>
        <w:rPr>
          <w:rFonts w:ascii="Times New Roman" w:hAnsi="Times New Roman" w:eastAsia="Times New Roman"/>
          <w:b/>
          <w:i w:val="0"/>
          <w:sz w:val="22"/>
        </w:rPr>
        <w:t>ABN 92 164 525 311</w:t>
      </w:r>
    </w:p>
    <w:p>
      <w:pPr>
        <w:spacing w:before="0" w:after="0"/>
        <w:jc w:val="center"/>
      </w:pPr>
      <w:r>
        <w:rPr>
          <w:rFonts w:ascii="Times New Roman" w:hAnsi="Times New Roman" w:eastAsia="Times New Roman"/>
          <w:b/>
          <w:i w:val="0"/>
          <w:sz w:val="24"/>
        </w:rPr>
        <w:t>Depreciation Schedule</w:t>
      </w:r>
    </w:p>
    <w:p>
      <w:pPr>
        <w:spacing w:before="0" w:after="40"/>
        <w:jc w:val="center"/>
      </w:pPr>
      <w:r>
        <w:rPr>
          <w:rFonts w:ascii="Times New Roman" w:hAnsi="Times New Roman" w:eastAsia="Times New Roman"/>
          <w:b/>
          <w:i w:val="0"/>
          <w:sz w:val="22"/>
        </w:rPr>
        <w:t>for the year ended 30 June, 2025</w:t>
      </w:r>
    </w:p>
    <w:p>
      <w:pPr>
        <w:spacing w:before="40" w:after="40"/>
        <w:pBdr>
          <w:bottom w:val="single" w:sz="12" w:space="1" w:color="000000"/>
        </w:pBdr>
      </w:pPr>
    </w:p>
    <w:p>
      <w:pPr>
        <w:spacing w:before="0" w:after="120"/>
        <w:jc w:val="left"/>
      </w:pPr>
      <w:r>
        <w:rPr>
          <w:rFonts w:ascii="Times New Roman" w:hAnsi="Times New Roman" w:eastAsia="Times New Roman"/>
          <w:b/>
          <w:i w:val="0"/>
          <w:sz w:val="20"/>
          <w:u w:val="single"/>
        </w:rPr>
        <w:t>Buildings</w:t>
      </w:r>
    </w:p>
    <w:tbl>
      <w:tblPr>
        <w:tblW w:type="auto" w:w="0"/>
        <w:jc w:val="center"/>
        <w:tblLayout w:type="autofit"/>
        <w:tblLook w:firstColumn="1" w:firstRow="1" w:lastColumn="0" w:lastRow="0" w:noHBand="0" w:noVBand="1" w:val="04A0"/>
      </w:tblPr>
      <w:tblGrid>
        <w:gridCol w:w="1081"/>
        <w:gridCol w:w="1081"/>
        <w:gridCol w:w="1081"/>
        <w:gridCol w:w="1081"/>
        <w:gridCol w:w="1081"/>
        <w:gridCol w:w="1081"/>
        <w:gridCol w:w="1081"/>
        <w:gridCol w:w="1081"/>
        <w:gridCol w:w="1081"/>
        <w:gridCol w:w="1081"/>
        <w:gridCol w:w="1081"/>
        <w:gridCol w:w="1081"/>
        <w:gridCol w:w="1081"/>
        <w:gridCol w:w="1081"/>
      </w:tblGrid>
      <w:tr>
        <w:tc>
          <w:tcPr>
            <w:tcW w:type="dxa" w:w="1081"/>
            <w:shd w:fill="D9E2F3"/>
          </w:tcPr>
          <w:p>
            <w:pPr>
              <w:jc w:val="center"/>
            </w:pPr>
            <w:r>
              <w:rPr>
                <w:rFonts w:ascii="Times New Roman" w:hAnsi="Times New Roman"/>
                <w:b/>
                <w:sz w:val="14"/>
              </w:rPr>
              <w:t>Asset</w:t>
            </w:r>
          </w:p>
        </w:tc>
        <w:tc>
          <w:tcPr>
            <w:tcW w:type="dxa" w:w="1081"/>
            <w:shd w:fill="D9E2F3"/>
          </w:tcPr>
          <w:p>
            <w:pPr>
              <w:jc w:val="center"/>
            </w:pPr>
            <w:r>
              <w:rPr>
                <w:rFonts w:ascii="Times New Roman" w:hAnsi="Times New Roman"/>
                <w:b/>
                <w:sz w:val="14"/>
              </w:rPr>
              <w:t>Total</w:t>
            </w:r>
          </w:p>
        </w:tc>
        <w:tc>
          <w:tcPr>
            <w:tcW w:type="dxa" w:w="1081"/>
            <w:shd w:fill="D9E2F3"/>
          </w:tcPr>
          <w:p>
            <w:pPr>
              <w:jc w:val="center"/>
            </w:pPr>
            <w:r>
              <w:rPr>
                <w:rFonts w:ascii="Times New Roman" w:hAnsi="Times New Roman"/>
                <w:b/>
                <w:sz w:val="14"/>
              </w:rPr>
              <w:t>Priv</w:t>
              <w:br/>
              <w:t>%</w:t>
            </w:r>
          </w:p>
        </w:tc>
        <w:tc>
          <w:tcPr>
            <w:tcW w:type="dxa" w:w="1081"/>
            <w:shd w:fill="D9E2F3"/>
          </w:tcPr>
          <w:p>
            <w:pPr>
              <w:jc w:val="center"/>
            </w:pPr>
            <w:r>
              <w:rPr>
                <w:rFonts w:ascii="Times New Roman" w:hAnsi="Times New Roman"/>
                <w:b/>
                <w:sz w:val="14"/>
              </w:rPr>
              <w:t>OWDV</w:t>
            </w:r>
          </w:p>
        </w:tc>
        <w:tc>
          <w:tcPr>
            <w:tcW w:type="dxa" w:w="1081"/>
            <w:shd w:fill="D9E2F3"/>
          </w:tcPr>
          <w:p>
            <w:pPr>
              <w:jc w:val="center"/>
            </w:pPr>
            <w:r>
              <w:rPr>
                <w:rFonts w:ascii="Times New Roman" w:hAnsi="Times New Roman"/>
                <w:b/>
                <w:sz w:val="14"/>
              </w:rPr>
              <w:t>Date</w:t>
            </w:r>
          </w:p>
        </w:tc>
        <w:tc>
          <w:tcPr>
            <w:tcW w:type="dxa" w:w="1081"/>
            <w:shd w:fill="D9E2F3"/>
          </w:tcPr>
          <w:p>
            <w:pPr>
              <w:jc w:val="center"/>
            </w:pPr>
            <w:r>
              <w:rPr>
                <w:rFonts w:ascii="Times New Roman" w:hAnsi="Times New Roman"/>
                <w:b/>
                <w:sz w:val="14"/>
              </w:rPr>
              <w:t>Consid</w:t>
            </w:r>
          </w:p>
        </w:tc>
        <w:tc>
          <w:tcPr>
            <w:tcW w:type="dxa" w:w="1081"/>
            <w:shd w:fill="D9E2F3"/>
          </w:tcPr>
          <w:p>
            <w:pPr>
              <w:jc w:val="center"/>
            </w:pPr>
            <w:r>
              <w:rPr>
                <w:rFonts w:ascii="Times New Roman" w:hAnsi="Times New Roman"/>
                <w:b/>
                <w:sz w:val="14"/>
              </w:rPr>
              <w:t>Date</w:t>
            </w:r>
          </w:p>
        </w:tc>
        <w:tc>
          <w:tcPr>
            <w:tcW w:type="dxa" w:w="1081"/>
            <w:shd w:fill="D9E2F3"/>
          </w:tcPr>
          <w:p>
            <w:pPr>
              <w:jc w:val="center"/>
            </w:pPr>
            <w:r>
              <w:rPr>
                <w:rFonts w:ascii="Times New Roman" w:hAnsi="Times New Roman"/>
                <w:b/>
                <w:sz w:val="14"/>
              </w:rPr>
              <w:t>Cost</w:t>
            </w:r>
          </w:p>
        </w:tc>
        <w:tc>
          <w:tcPr>
            <w:tcW w:type="dxa" w:w="1081"/>
            <w:shd w:fill="D9E2F3"/>
          </w:tcPr>
          <w:p>
            <w:pPr>
              <w:jc w:val="center"/>
            </w:pPr>
            <w:r>
              <w:rPr>
                <w:rFonts w:ascii="Times New Roman" w:hAnsi="Times New Roman"/>
                <w:b/>
                <w:sz w:val="14"/>
              </w:rPr>
              <w:t>Value</w:t>
            </w:r>
          </w:p>
        </w:tc>
        <w:tc>
          <w:tcPr>
            <w:tcW w:type="dxa" w:w="1081"/>
            <w:shd w:fill="D9E2F3"/>
          </w:tcPr>
          <w:p>
            <w:pPr>
              <w:jc w:val="center"/>
            </w:pPr>
            <w:r>
              <w:rPr>
                <w:rFonts w:ascii="Times New Roman" w:hAnsi="Times New Roman"/>
                <w:b/>
                <w:sz w:val="14"/>
              </w:rPr>
              <w:t>T</w:t>
            </w:r>
          </w:p>
        </w:tc>
        <w:tc>
          <w:tcPr>
            <w:tcW w:type="dxa" w:w="1081"/>
            <w:shd w:fill="D9E2F3"/>
          </w:tcPr>
          <w:p>
            <w:pPr>
              <w:jc w:val="center"/>
            </w:pPr>
            <w:r>
              <w:rPr>
                <w:rFonts w:ascii="Times New Roman" w:hAnsi="Times New Roman"/>
                <w:b/>
                <w:sz w:val="14"/>
              </w:rPr>
              <w:t>Rate</w:t>
            </w:r>
          </w:p>
        </w:tc>
        <w:tc>
          <w:tcPr>
            <w:tcW w:type="dxa" w:w="1081"/>
            <w:shd w:fill="D9E2F3"/>
          </w:tcPr>
          <w:p>
            <w:pPr>
              <w:jc w:val="center"/>
            </w:pPr>
            <w:r>
              <w:rPr>
                <w:rFonts w:ascii="Times New Roman" w:hAnsi="Times New Roman"/>
                <w:b/>
                <w:sz w:val="14"/>
              </w:rPr>
              <w:t>Deprec</w:t>
            </w:r>
          </w:p>
        </w:tc>
        <w:tc>
          <w:tcPr>
            <w:tcW w:type="dxa" w:w="1081"/>
            <w:shd w:fill="D9E2F3"/>
          </w:tcPr>
          <w:p>
            <w:pPr>
              <w:jc w:val="center"/>
            </w:pPr>
            <w:r>
              <w:rPr>
                <w:rFonts w:ascii="Times New Roman" w:hAnsi="Times New Roman"/>
                <w:b/>
                <w:sz w:val="14"/>
              </w:rPr>
              <w:t>Priv</w:t>
            </w:r>
          </w:p>
        </w:tc>
        <w:tc>
          <w:tcPr>
            <w:tcW w:type="dxa" w:w="1081"/>
            <w:shd w:fill="D9E2F3"/>
          </w:tcPr>
          <w:p>
            <w:pPr>
              <w:jc w:val="center"/>
            </w:pPr>
            <w:r>
              <w:rPr>
                <w:rFonts w:ascii="Times New Roman" w:hAnsi="Times New Roman"/>
                <w:b/>
                <w:sz w:val="14"/>
              </w:rPr>
              <w:t>CWDV</w:t>
            </w:r>
          </w:p>
        </w:tc>
      </w:tr>
      <w:tr>
        <w:tc>
          <w:tcPr>
            <w:tcW w:type="dxa" w:w="1081"/>
          </w:tcPr>
          <w:p>
            <w:pPr>
              <w:jc w:val="left"/>
            </w:pPr>
            <w:r>
              <w:rPr>
                <w:rFonts w:ascii="Times New Roman" w:hAnsi="Times New Roman"/>
                <w:sz w:val="14"/>
              </w:rPr>
              <w:t>Conference Centre Building</w:t>
            </w:r>
          </w:p>
        </w:tc>
        <w:tc>
          <w:tcPr>
            <w:tcW w:type="dxa" w:w="1081"/>
          </w:tcPr>
          <w:p>
            <w:pPr>
              <w:jc w:val="right"/>
            </w:pPr>
            <w:r>
              <w:rPr>
                <w:rFonts w:ascii="Times New Roman" w:hAnsi="Times New Roman"/>
                <w:sz w:val="14"/>
              </w:rPr>
              <w:t>500,000</w:t>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t>450,000</w:t>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t>p</w:t>
            </w:r>
          </w:p>
        </w:tc>
        <w:tc>
          <w:tcPr>
            <w:tcW w:type="dxa" w:w="1081"/>
          </w:tcPr>
          <w:p>
            <w:pPr>
              <w:jc w:val="right"/>
            </w:pPr>
            <w:r>
              <w:rPr>
                <w:rFonts w:ascii="Times New Roman" w:hAnsi="Times New Roman"/>
                <w:sz w:val="14"/>
              </w:rPr>
              <w:t>2.50</w:t>
            </w:r>
          </w:p>
        </w:tc>
        <w:tc>
          <w:tcPr>
            <w:tcW w:type="dxa" w:w="1081"/>
          </w:tcPr>
          <w:p>
            <w:pPr>
              <w:jc w:val="right"/>
            </w:pPr>
            <w:r>
              <w:rPr>
                <w:rFonts w:ascii="Times New Roman" w:hAnsi="Times New Roman"/>
                <w:sz w:val="14"/>
              </w:rPr>
              <w:t>12,500</w:t>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t>437,500</w:t>
            </w:r>
          </w:p>
        </w:tc>
      </w:tr>
      <w:tr>
        <w:tc>
          <w:tcPr>
            <w:tcW w:type="dxa" w:w="1081"/>
          </w:tcPr>
          <w:p>
            <w:pPr>
              <w:jc w:val="left"/>
            </w:pPr>
            <w:r>
              <w:rPr>
                <w:rFonts w:ascii="Times New Roman" w:hAnsi="Times New Roman"/>
                <w:b/>
                <w:sz w:val="14"/>
              </w:rPr>
              <w:t>Subtotals</w:t>
            </w:r>
          </w:p>
        </w:tc>
        <w:tc>
          <w:tcPr>
            <w:tcW w:type="dxa" w:w="1081"/>
          </w:tcPr>
          <w:p>
            <w:pPr>
              <w:jc w:val="right"/>
            </w:pPr>
            <w:r>
              <w:rPr>
                <w:rFonts w:ascii="Times New Roman" w:hAnsi="Times New Roman"/>
                <w:b/>
                <w:sz w:val="14"/>
              </w:rPr>
              <w:t>500,000</w:t>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t>450,000</w:t>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t>12,500</w:t>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t>437,500</w:t>
            </w:r>
          </w:p>
        </w:tc>
      </w:tr>
    </w:tbl>
    <w:p>
      <w:pPr>
        <w:spacing w:after="80"/>
      </w:pPr>
    </w:p>
    <w:p>
      <w:pPr>
        <w:spacing w:before="0" w:after="40"/>
        <w:jc w:val="left"/>
      </w:pPr>
      <w:r>
        <w:rPr>
          <w:rFonts w:ascii="Times New Roman" w:hAnsi="Times New Roman" w:eastAsia="Times New Roman"/>
          <w:b w:val="0"/>
          <w:i w:val="0"/>
          <w:sz w:val="16"/>
        </w:rPr>
        <w:t xml:space="preserve">Deduct Private Portion: </w:t>
      </w:r>
    </w:p>
    <w:p>
      <w:pPr>
        <w:spacing w:after="120"/>
      </w:pPr>
      <w:r>
        <w:rPr>
          <w:rFonts w:ascii="Times New Roman" w:hAnsi="Times New Roman"/>
          <w:b/>
          <w:sz w:val="16"/>
          <w:u w:val="single"/>
        </w:rPr>
        <w:t>Net Depreciation: 12,500</w:t>
      </w:r>
    </w:p>
    <w:p>
      <w:pPr>
        <w:sectPr>
          <w:type w:val="nextColumn"/>
          <w:pgSz w:w="16838" w:h="11906" w:orient="landscape"/>
          <w:pgMar w:top="850" w:right="850" w:bottom="850" w:left="850" w:header="720" w:footer="720" w:gutter="0"/>
          <w:cols w:space="720"/>
          <w:docGrid w:linePitch="360"/>
        </w:sectPr>
      </w:pPr>
    </w:p>
    <w:p>
      <w:pPr>
        <w:spacing w:before="0" w:after="0"/>
        <w:jc w:val="center"/>
      </w:pPr>
      <w:r>
        <w:rPr>
          <w:rFonts w:ascii="Times New Roman" w:hAnsi="Times New Roman" w:eastAsia="Times New Roman"/>
          <w:b/>
          <w:i w:val="0"/>
          <w:sz w:val="28"/>
        </w:rPr>
        <w:t>Foothills Conference Centre Pty Ltd</w:t>
      </w:r>
    </w:p>
    <w:p>
      <w:pPr>
        <w:spacing w:before="0" w:after="0"/>
        <w:jc w:val="center"/>
      </w:pPr>
      <w:r>
        <w:rPr>
          <w:rFonts w:ascii="Times New Roman" w:hAnsi="Times New Roman" w:eastAsia="Times New Roman"/>
          <w:b/>
          <w:i w:val="0"/>
          <w:sz w:val="22"/>
        </w:rPr>
        <w:t>ABN 92 164 525 311</w:t>
      </w:r>
    </w:p>
    <w:p>
      <w:pPr>
        <w:spacing w:before="0" w:after="0"/>
        <w:jc w:val="center"/>
      </w:pPr>
      <w:r>
        <w:rPr>
          <w:rFonts w:ascii="Times New Roman" w:hAnsi="Times New Roman" w:eastAsia="Times New Roman"/>
          <w:b/>
          <w:i w:val="0"/>
          <w:sz w:val="24"/>
        </w:rPr>
        <w:t>Depreciation Schedule</w:t>
      </w:r>
    </w:p>
    <w:p>
      <w:pPr>
        <w:spacing w:before="0" w:after="40"/>
        <w:jc w:val="center"/>
      </w:pPr>
      <w:r>
        <w:rPr>
          <w:rFonts w:ascii="Times New Roman" w:hAnsi="Times New Roman" w:eastAsia="Times New Roman"/>
          <w:b/>
          <w:i w:val="0"/>
          <w:sz w:val="22"/>
        </w:rPr>
        <w:t>for the year ended 30 June, 2025</w:t>
      </w:r>
    </w:p>
    <w:p>
      <w:pPr>
        <w:spacing w:before="40" w:after="40"/>
        <w:pBdr>
          <w:bottom w:val="single" w:sz="12" w:space="1" w:color="000000"/>
        </w:pBdr>
      </w:pPr>
    </w:p>
    <w:p>
      <w:pPr>
        <w:spacing w:before="0" w:after="120"/>
        <w:jc w:val="left"/>
      </w:pPr>
      <w:r>
        <w:rPr>
          <w:rFonts w:ascii="Times New Roman" w:hAnsi="Times New Roman" w:eastAsia="Times New Roman"/>
          <w:b/>
          <w:i w:val="0"/>
          <w:sz w:val="20"/>
          <w:u w:val="single"/>
        </w:rPr>
        <w:t>Furniture &amp; Fittings</w:t>
      </w:r>
    </w:p>
    <w:tbl>
      <w:tblPr>
        <w:tblW w:type="auto" w:w="0"/>
        <w:jc w:val="center"/>
        <w:tblLayout w:type="autofit"/>
        <w:tblLook w:firstColumn="1" w:firstRow="1" w:lastColumn="0" w:lastRow="0" w:noHBand="0" w:noVBand="1" w:val="04A0"/>
      </w:tblPr>
      <w:tblGrid>
        <w:gridCol w:w="1081"/>
        <w:gridCol w:w="1081"/>
        <w:gridCol w:w="1081"/>
        <w:gridCol w:w="1081"/>
        <w:gridCol w:w="1081"/>
        <w:gridCol w:w="1081"/>
        <w:gridCol w:w="1081"/>
        <w:gridCol w:w="1081"/>
        <w:gridCol w:w="1081"/>
        <w:gridCol w:w="1081"/>
        <w:gridCol w:w="1081"/>
        <w:gridCol w:w="1081"/>
        <w:gridCol w:w="1081"/>
        <w:gridCol w:w="1081"/>
      </w:tblGrid>
      <w:tr>
        <w:tc>
          <w:tcPr>
            <w:tcW w:type="dxa" w:w="1081"/>
            <w:shd w:fill="D9E2F3"/>
          </w:tcPr>
          <w:p>
            <w:pPr>
              <w:jc w:val="center"/>
            </w:pPr>
            <w:r>
              <w:rPr>
                <w:rFonts w:ascii="Times New Roman" w:hAnsi="Times New Roman"/>
                <w:b/>
                <w:sz w:val="14"/>
              </w:rPr>
              <w:t>Asset</w:t>
            </w:r>
          </w:p>
        </w:tc>
        <w:tc>
          <w:tcPr>
            <w:tcW w:type="dxa" w:w="1081"/>
            <w:shd w:fill="D9E2F3"/>
          </w:tcPr>
          <w:p>
            <w:pPr>
              <w:jc w:val="center"/>
            </w:pPr>
            <w:r>
              <w:rPr>
                <w:rFonts w:ascii="Times New Roman" w:hAnsi="Times New Roman"/>
                <w:b/>
                <w:sz w:val="14"/>
              </w:rPr>
              <w:t>Total</w:t>
            </w:r>
          </w:p>
        </w:tc>
        <w:tc>
          <w:tcPr>
            <w:tcW w:type="dxa" w:w="1081"/>
            <w:shd w:fill="D9E2F3"/>
          </w:tcPr>
          <w:p>
            <w:pPr>
              <w:jc w:val="center"/>
            </w:pPr>
            <w:r>
              <w:rPr>
                <w:rFonts w:ascii="Times New Roman" w:hAnsi="Times New Roman"/>
                <w:b/>
                <w:sz w:val="14"/>
              </w:rPr>
              <w:t>Priv</w:t>
              <w:br/>
              <w:t>%</w:t>
            </w:r>
          </w:p>
        </w:tc>
        <w:tc>
          <w:tcPr>
            <w:tcW w:type="dxa" w:w="1081"/>
            <w:shd w:fill="D9E2F3"/>
          </w:tcPr>
          <w:p>
            <w:pPr>
              <w:jc w:val="center"/>
            </w:pPr>
            <w:r>
              <w:rPr>
                <w:rFonts w:ascii="Times New Roman" w:hAnsi="Times New Roman"/>
                <w:b/>
                <w:sz w:val="14"/>
              </w:rPr>
              <w:t>OWDV</w:t>
            </w:r>
          </w:p>
        </w:tc>
        <w:tc>
          <w:tcPr>
            <w:tcW w:type="dxa" w:w="1081"/>
            <w:shd w:fill="D9E2F3"/>
          </w:tcPr>
          <w:p>
            <w:pPr>
              <w:jc w:val="center"/>
            </w:pPr>
            <w:r>
              <w:rPr>
                <w:rFonts w:ascii="Times New Roman" w:hAnsi="Times New Roman"/>
                <w:b/>
                <w:sz w:val="14"/>
              </w:rPr>
              <w:t>Date</w:t>
            </w:r>
          </w:p>
        </w:tc>
        <w:tc>
          <w:tcPr>
            <w:tcW w:type="dxa" w:w="1081"/>
            <w:shd w:fill="D9E2F3"/>
          </w:tcPr>
          <w:p>
            <w:pPr>
              <w:jc w:val="center"/>
            </w:pPr>
            <w:r>
              <w:rPr>
                <w:rFonts w:ascii="Times New Roman" w:hAnsi="Times New Roman"/>
                <w:b/>
                <w:sz w:val="14"/>
              </w:rPr>
              <w:t>Consid</w:t>
            </w:r>
          </w:p>
        </w:tc>
        <w:tc>
          <w:tcPr>
            <w:tcW w:type="dxa" w:w="1081"/>
            <w:shd w:fill="D9E2F3"/>
          </w:tcPr>
          <w:p>
            <w:pPr>
              <w:jc w:val="center"/>
            </w:pPr>
            <w:r>
              <w:rPr>
                <w:rFonts w:ascii="Times New Roman" w:hAnsi="Times New Roman"/>
                <w:b/>
                <w:sz w:val="14"/>
              </w:rPr>
              <w:t>Date</w:t>
            </w:r>
          </w:p>
        </w:tc>
        <w:tc>
          <w:tcPr>
            <w:tcW w:type="dxa" w:w="1081"/>
            <w:shd w:fill="D9E2F3"/>
          </w:tcPr>
          <w:p>
            <w:pPr>
              <w:jc w:val="center"/>
            </w:pPr>
            <w:r>
              <w:rPr>
                <w:rFonts w:ascii="Times New Roman" w:hAnsi="Times New Roman"/>
                <w:b/>
                <w:sz w:val="14"/>
              </w:rPr>
              <w:t>Cost</w:t>
            </w:r>
          </w:p>
        </w:tc>
        <w:tc>
          <w:tcPr>
            <w:tcW w:type="dxa" w:w="1081"/>
            <w:shd w:fill="D9E2F3"/>
          </w:tcPr>
          <w:p>
            <w:pPr>
              <w:jc w:val="center"/>
            </w:pPr>
            <w:r>
              <w:rPr>
                <w:rFonts w:ascii="Times New Roman" w:hAnsi="Times New Roman"/>
                <w:b/>
                <w:sz w:val="14"/>
              </w:rPr>
              <w:t>Value</w:t>
            </w:r>
          </w:p>
        </w:tc>
        <w:tc>
          <w:tcPr>
            <w:tcW w:type="dxa" w:w="1081"/>
            <w:shd w:fill="D9E2F3"/>
          </w:tcPr>
          <w:p>
            <w:pPr>
              <w:jc w:val="center"/>
            </w:pPr>
            <w:r>
              <w:rPr>
                <w:rFonts w:ascii="Times New Roman" w:hAnsi="Times New Roman"/>
                <w:b/>
                <w:sz w:val="14"/>
              </w:rPr>
              <w:t>T</w:t>
            </w:r>
          </w:p>
        </w:tc>
        <w:tc>
          <w:tcPr>
            <w:tcW w:type="dxa" w:w="1081"/>
            <w:shd w:fill="D9E2F3"/>
          </w:tcPr>
          <w:p>
            <w:pPr>
              <w:jc w:val="center"/>
            </w:pPr>
            <w:r>
              <w:rPr>
                <w:rFonts w:ascii="Times New Roman" w:hAnsi="Times New Roman"/>
                <w:b/>
                <w:sz w:val="14"/>
              </w:rPr>
              <w:t>Rate</w:t>
            </w:r>
          </w:p>
        </w:tc>
        <w:tc>
          <w:tcPr>
            <w:tcW w:type="dxa" w:w="1081"/>
            <w:shd w:fill="D9E2F3"/>
          </w:tcPr>
          <w:p>
            <w:pPr>
              <w:jc w:val="center"/>
            </w:pPr>
            <w:r>
              <w:rPr>
                <w:rFonts w:ascii="Times New Roman" w:hAnsi="Times New Roman"/>
                <w:b/>
                <w:sz w:val="14"/>
              </w:rPr>
              <w:t>Deprec</w:t>
            </w:r>
          </w:p>
        </w:tc>
        <w:tc>
          <w:tcPr>
            <w:tcW w:type="dxa" w:w="1081"/>
            <w:shd w:fill="D9E2F3"/>
          </w:tcPr>
          <w:p>
            <w:pPr>
              <w:jc w:val="center"/>
            </w:pPr>
            <w:r>
              <w:rPr>
                <w:rFonts w:ascii="Times New Roman" w:hAnsi="Times New Roman"/>
                <w:b/>
                <w:sz w:val="14"/>
              </w:rPr>
              <w:t>Priv</w:t>
            </w:r>
          </w:p>
        </w:tc>
        <w:tc>
          <w:tcPr>
            <w:tcW w:type="dxa" w:w="1081"/>
            <w:shd w:fill="D9E2F3"/>
          </w:tcPr>
          <w:p>
            <w:pPr>
              <w:jc w:val="center"/>
            </w:pPr>
            <w:r>
              <w:rPr>
                <w:rFonts w:ascii="Times New Roman" w:hAnsi="Times New Roman"/>
                <w:b/>
                <w:sz w:val="14"/>
              </w:rPr>
              <w:t>CWDV</w:t>
            </w:r>
          </w:p>
        </w:tc>
      </w:tr>
      <w:tr>
        <w:tc>
          <w:tcPr>
            <w:tcW w:type="dxa" w:w="1081"/>
          </w:tcPr>
          <w:p>
            <w:pPr>
              <w:jc w:val="left"/>
            </w:pPr>
            <w:r>
              <w:rPr>
                <w:rFonts w:ascii="Times New Roman" w:hAnsi="Times New Roman"/>
                <w:sz w:val="14"/>
              </w:rPr>
              <w:t>Bar Equipment</w:t>
            </w:r>
          </w:p>
        </w:tc>
        <w:tc>
          <w:tcPr>
            <w:tcW w:type="dxa" w:w="1081"/>
          </w:tcPr>
          <w:p>
            <w:pPr>
              <w:jc w:val="right"/>
            </w:pPr>
            <w:r>
              <w:rPr>
                <w:rFonts w:ascii="Times New Roman" w:hAnsi="Times New Roman"/>
                <w:sz w:val="14"/>
              </w:rPr>
              <w:t>8,000</w:t>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t>3,200</w:t>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t>d</w:t>
            </w:r>
          </w:p>
        </w:tc>
        <w:tc>
          <w:tcPr>
            <w:tcW w:type="dxa" w:w="1081"/>
          </w:tcPr>
          <w:p>
            <w:pPr>
              <w:jc w:val="right"/>
            </w:pPr>
            <w:r>
              <w:rPr>
                <w:rFonts w:ascii="Times New Roman" w:hAnsi="Times New Roman"/>
                <w:sz w:val="14"/>
              </w:rPr>
              <w:t>20.00</w:t>
            </w:r>
          </w:p>
        </w:tc>
        <w:tc>
          <w:tcPr>
            <w:tcW w:type="dxa" w:w="1081"/>
          </w:tcPr>
          <w:p>
            <w:pPr>
              <w:jc w:val="right"/>
            </w:pPr>
            <w:r>
              <w:rPr>
                <w:rFonts w:ascii="Times New Roman" w:hAnsi="Times New Roman"/>
                <w:sz w:val="14"/>
              </w:rPr>
              <w:t>640</w:t>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t>2,560</w:t>
            </w:r>
          </w:p>
        </w:tc>
      </w:tr>
      <w:tr>
        <w:tc>
          <w:tcPr>
            <w:tcW w:type="dxa" w:w="1081"/>
          </w:tcPr>
          <w:p>
            <w:pPr>
              <w:jc w:val="left"/>
            </w:pPr>
            <w:r>
              <w:rPr>
                <w:rFonts w:ascii="Times New Roman" w:hAnsi="Times New Roman"/>
                <w:sz w:val="14"/>
              </w:rPr>
              <w:t>Conference Room Furniture</w:t>
            </w:r>
          </w:p>
        </w:tc>
        <w:tc>
          <w:tcPr>
            <w:tcW w:type="dxa" w:w="1081"/>
          </w:tcPr>
          <w:p>
            <w:pPr>
              <w:jc w:val="right"/>
            </w:pPr>
            <w:r>
              <w:rPr>
                <w:rFonts w:ascii="Times New Roman" w:hAnsi="Times New Roman"/>
                <w:sz w:val="14"/>
              </w:rPr>
              <w:t>25,000</w:t>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t>15,000</w:t>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t>d</w:t>
            </w:r>
          </w:p>
        </w:tc>
        <w:tc>
          <w:tcPr>
            <w:tcW w:type="dxa" w:w="1081"/>
          </w:tcPr>
          <w:p>
            <w:pPr>
              <w:jc w:val="right"/>
            </w:pPr>
            <w:r>
              <w:rPr>
                <w:rFonts w:ascii="Times New Roman" w:hAnsi="Times New Roman"/>
                <w:sz w:val="14"/>
              </w:rPr>
              <w:t>20.00</w:t>
            </w:r>
          </w:p>
        </w:tc>
        <w:tc>
          <w:tcPr>
            <w:tcW w:type="dxa" w:w="1081"/>
          </w:tcPr>
          <w:p>
            <w:pPr>
              <w:jc w:val="right"/>
            </w:pPr>
            <w:r>
              <w:rPr>
                <w:rFonts w:ascii="Times New Roman" w:hAnsi="Times New Roman"/>
                <w:sz w:val="14"/>
              </w:rPr>
              <w:t>3,000</w:t>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t>12,000</w:t>
            </w:r>
          </w:p>
        </w:tc>
      </w:tr>
      <w:tr>
        <w:tc>
          <w:tcPr>
            <w:tcW w:type="dxa" w:w="1081"/>
          </w:tcPr>
          <w:p>
            <w:pPr>
              <w:jc w:val="left"/>
            </w:pPr>
            <w:r>
              <w:rPr>
                <w:rFonts w:ascii="Times New Roman" w:hAnsi="Times New Roman"/>
                <w:sz w:val="14"/>
              </w:rPr>
              <w:t>Dining Room Tables &amp; Chairs</w:t>
            </w:r>
          </w:p>
        </w:tc>
        <w:tc>
          <w:tcPr>
            <w:tcW w:type="dxa" w:w="1081"/>
          </w:tcPr>
          <w:p>
            <w:pPr>
              <w:jc w:val="right"/>
            </w:pPr>
            <w:r>
              <w:rPr>
                <w:rFonts w:ascii="Times New Roman" w:hAnsi="Times New Roman"/>
                <w:sz w:val="14"/>
              </w:rPr>
              <w:t>18,000</w:t>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t>8,500</w:t>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t>d</w:t>
            </w:r>
          </w:p>
        </w:tc>
        <w:tc>
          <w:tcPr>
            <w:tcW w:type="dxa" w:w="1081"/>
          </w:tcPr>
          <w:p>
            <w:pPr>
              <w:jc w:val="right"/>
            </w:pPr>
            <w:r>
              <w:rPr>
                <w:rFonts w:ascii="Times New Roman" w:hAnsi="Times New Roman"/>
                <w:sz w:val="14"/>
              </w:rPr>
              <w:t>20.00</w:t>
            </w:r>
          </w:p>
        </w:tc>
        <w:tc>
          <w:tcPr>
            <w:tcW w:type="dxa" w:w="1081"/>
          </w:tcPr>
          <w:p>
            <w:pPr>
              <w:jc w:val="right"/>
            </w:pPr>
            <w:r>
              <w:rPr>
                <w:rFonts w:ascii="Times New Roman" w:hAnsi="Times New Roman"/>
                <w:sz w:val="14"/>
              </w:rPr>
              <w:t>1,700</w:t>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t>6,800</w:t>
            </w:r>
          </w:p>
        </w:tc>
      </w:tr>
      <w:tr>
        <w:tc>
          <w:tcPr>
            <w:tcW w:type="dxa" w:w="1081"/>
          </w:tcPr>
          <w:p>
            <w:pPr>
              <w:jc w:val="left"/>
            </w:pPr>
            <w:r>
              <w:rPr>
                <w:rFonts w:ascii="Times New Roman" w:hAnsi="Times New Roman"/>
                <w:b/>
                <w:sz w:val="14"/>
              </w:rPr>
              <w:t>Subtotals</w:t>
            </w:r>
          </w:p>
        </w:tc>
        <w:tc>
          <w:tcPr>
            <w:tcW w:type="dxa" w:w="1081"/>
          </w:tcPr>
          <w:p>
            <w:pPr>
              <w:jc w:val="right"/>
            </w:pPr>
            <w:r>
              <w:rPr>
                <w:rFonts w:ascii="Times New Roman" w:hAnsi="Times New Roman"/>
                <w:b/>
                <w:sz w:val="14"/>
              </w:rPr>
              <w:t>51,000</w:t>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t>26,700</w:t>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t>5,340</w:t>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t>21,360</w:t>
            </w:r>
          </w:p>
        </w:tc>
      </w:tr>
    </w:tbl>
    <w:p>
      <w:pPr>
        <w:spacing w:after="80"/>
      </w:pPr>
    </w:p>
    <w:p>
      <w:pPr>
        <w:spacing w:before="0" w:after="40"/>
        <w:jc w:val="left"/>
      </w:pPr>
      <w:r>
        <w:rPr>
          <w:rFonts w:ascii="Times New Roman" w:hAnsi="Times New Roman" w:eastAsia="Times New Roman"/>
          <w:b w:val="0"/>
          <w:i w:val="0"/>
          <w:sz w:val="16"/>
        </w:rPr>
        <w:t xml:space="preserve">Deduct Private Portion: </w:t>
      </w:r>
    </w:p>
    <w:p>
      <w:pPr>
        <w:spacing w:after="120"/>
      </w:pPr>
      <w:r>
        <w:rPr>
          <w:rFonts w:ascii="Times New Roman" w:hAnsi="Times New Roman"/>
          <w:b/>
          <w:sz w:val="16"/>
          <w:u w:val="single"/>
        </w:rPr>
        <w:t>Net Depreciation: 5,340</w:t>
      </w:r>
    </w:p>
    <w:p>
      <w:pPr>
        <w:sectPr>
          <w:type w:val="nextColumn"/>
          <w:pgSz w:w="16838" w:h="11906" w:orient="landscape"/>
          <w:pgMar w:top="850" w:right="850" w:bottom="850" w:left="850" w:header="720" w:footer="720" w:gutter="0"/>
          <w:cols w:space="720"/>
          <w:docGrid w:linePitch="360"/>
        </w:sectPr>
      </w:pPr>
    </w:p>
    <w:p>
      <w:pPr>
        <w:spacing w:before="0" w:after="0"/>
        <w:jc w:val="center"/>
      </w:pPr>
      <w:r>
        <w:rPr>
          <w:rFonts w:ascii="Times New Roman" w:hAnsi="Times New Roman" w:eastAsia="Times New Roman"/>
          <w:b/>
          <w:i w:val="0"/>
          <w:sz w:val="28"/>
        </w:rPr>
        <w:t>Foothills Conference Centre Pty Ltd</w:t>
      </w:r>
    </w:p>
    <w:p>
      <w:pPr>
        <w:spacing w:before="0" w:after="0"/>
        <w:jc w:val="center"/>
      </w:pPr>
      <w:r>
        <w:rPr>
          <w:rFonts w:ascii="Times New Roman" w:hAnsi="Times New Roman" w:eastAsia="Times New Roman"/>
          <w:b/>
          <w:i w:val="0"/>
          <w:sz w:val="22"/>
        </w:rPr>
        <w:t>ABN 92 164 525 311</w:t>
      </w:r>
    </w:p>
    <w:p>
      <w:pPr>
        <w:spacing w:before="0" w:after="0"/>
        <w:jc w:val="center"/>
      </w:pPr>
      <w:r>
        <w:rPr>
          <w:rFonts w:ascii="Times New Roman" w:hAnsi="Times New Roman" w:eastAsia="Times New Roman"/>
          <w:b/>
          <w:i w:val="0"/>
          <w:sz w:val="24"/>
        </w:rPr>
        <w:t>Depreciation Schedule</w:t>
      </w:r>
    </w:p>
    <w:p>
      <w:pPr>
        <w:spacing w:before="0" w:after="40"/>
        <w:jc w:val="center"/>
      </w:pPr>
      <w:r>
        <w:rPr>
          <w:rFonts w:ascii="Times New Roman" w:hAnsi="Times New Roman" w:eastAsia="Times New Roman"/>
          <w:b/>
          <w:i w:val="0"/>
          <w:sz w:val="22"/>
        </w:rPr>
        <w:t>for the year ended 30 June, 2025</w:t>
      </w:r>
    </w:p>
    <w:p>
      <w:pPr>
        <w:spacing w:before="40" w:after="40"/>
        <w:pBdr>
          <w:bottom w:val="single" w:sz="12" w:space="1" w:color="000000"/>
        </w:pBdr>
      </w:pPr>
    </w:p>
    <w:p>
      <w:pPr>
        <w:spacing w:before="0" w:after="120"/>
        <w:jc w:val="left"/>
      </w:pPr>
      <w:r>
        <w:rPr>
          <w:rFonts w:ascii="Times New Roman" w:hAnsi="Times New Roman" w:eastAsia="Times New Roman"/>
          <w:b/>
          <w:i w:val="0"/>
          <w:sz w:val="20"/>
          <w:u w:val="single"/>
        </w:rPr>
        <w:t>Motor Vehicles</w:t>
      </w:r>
    </w:p>
    <w:tbl>
      <w:tblPr>
        <w:tblW w:type="auto" w:w="0"/>
        <w:jc w:val="center"/>
        <w:tblLayout w:type="autofit"/>
        <w:tblLook w:firstColumn="1" w:firstRow="1" w:lastColumn="0" w:lastRow="0" w:noHBand="0" w:noVBand="1" w:val="04A0"/>
      </w:tblPr>
      <w:tblGrid>
        <w:gridCol w:w="1081"/>
        <w:gridCol w:w="1081"/>
        <w:gridCol w:w="1081"/>
        <w:gridCol w:w="1081"/>
        <w:gridCol w:w="1081"/>
        <w:gridCol w:w="1081"/>
        <w:gridCol w:w="1081"/>
        <w:gridCol w:w="1081"/>
        <w:gridCol w:w="1081"/>
        <w:gridCol w:w="1081"/>
        <w:gridCol w:w="1081"/>
        <w:gridCol w:w="1081"/>
        <w:gridCol w:w="1081"/>
        <w:gridCol w:w="1081"/>
      </w:tblGrid>
      <w:tr>
        <w:tc>
          <w:tcPr>
            <w:tcW w:type="dxa" w:w="1081"/>
            <w:shd w:fill="D9E2F3"/>
          </w:tcPr>
          <w:p>
            <w:pPr>
              <w:jc w:val="center"/>
            </w:pPr>
            <w:r>
              <w:rPr>
                <w:rFonts w:ascii="Times New Roman" w:hAnsi="Times New Roman"/>
                <w:b/>
                <w:sz w:val="14"/>
              </w:rPr>
              <w:t>Asset</w:t>
            </w:r>
          </w:p>
        </w:tc>
        <w:tc>
          <w:tcPr>
            <w:tcW w:type="dxa" w:w="1081"/>
            <w:shd w:fill="D9E2F3"/>
          </w:tcPr>
          <w:p>
            <w:pPr>
              <w:jc w:val="center"/>
            </w:pPr>
            <w:r>
              <w:rPr>
                <w:rFonts w:ascii="Times New Roman" w:hAnsi="Times New Roman"/>
                <w:b/>
                <w:sz w:val="14"/>
              </w:rPr>
              <w:t>Total</w:t>
            </w:r>
          </w:p>
        </w:tc>
        <w:tc>
          <w:tcPr>
            <w:tcW w:type="dxa" w:w="1081"/>
            <w:shd w:fill="D9E2F3"/>
          </w:tcPr>
          <w:p>
            <w:pPr>
              <w:jc w:val="center"/>
            </w:pPr>
            <w:r>
              <w:rPr>
                <w:rFonts w:ascii="Times New Roman" w:hAnsi="Times New Roman"/>
                <w:b/>
                <w:sz w:val="14"/>
              </w:rPr>
              <w:t>Priv</w:t>
              <w:br/>
              <w:t>%</w:t>
            </w:r>
          </w:p>
        </w:tc>
        <w:tc>
          <w:tcPr>
            <w:tcW w:type="dxa" w:w="1081"/>
            <w:shd w:fill="D9E2F3"/>
          </w:tcPr>
          <w:p>
            <w:pPr>
              <w:jc w:val="center"/>
            </w:pPr>
            <w:r>
              <w:rPr>
                <w:rFonts w:ascii="Times New Roman" w:hAnsi="Times New Roman"/>
                <w:b/>
                <w:sz w:val="14"/>
              </w:rPr>
              <w:t>OWDV</w:t>
            </w:r>
          </w:p>
        </w:tc>
        <w:tc>
          <w:tcPr>
            <w:tcW w:type="dxa" w:w="1081"/>
            <w:shd w:fill="D9E2F3"/>
          </w:tcPr>
          <w:p>
            <w:pPr>
              <w:jc w:val="center"/>
            </w:pPr>
            <w:r>
              <w:rPr>
                <w:rFonts w:ascii="Times New Roman" w:hAnsi="Times New Roman"/>
                <w:b/>
                <w:sz w:val="14"/>
              </w:rPr>
              <w:t>Date</w:t>
            </w:r>
          </w:p>
        </w:tc>
        <w:tc>
          <w:tcPr>
            <w:tcW w:type="dxa" w:w="1081"/>
            <w:shd w:fill="D9E2F3"/>
          </w:tcPr>
          <w:p>
            <w:pPr>
              <w:jc w:val="center"/>
            </w:pPr>
            <w:r>
              <w:rPr>
                <w:rFonts w:ascii="Times New Roman" w:hAnsi="Times New Roman"/>
                <w:b/>
                <w:sz w:val="14"/>
              </w:rPr>
              <w:t>Consid</w:t>
            </w:r>
          </w:p>
        </w:tc>
        <w:tc>
          <w:tcPr>
            <w:tcW w:type="dxa" w:w="1081"/>
            <w:shd w:fill="D9E2F3"/>
          </w:tcPr>
          <w:p>
            <w:pPr>
              <w:jc w:val="center"/>
            </w:pPr>
            <w:r>
              <w:rPr>
                <w:rFonts w:ascii="Times New Roman" w:hAnsi="Times New Roman"/>
                <w:b/>
                <w:sz w:val="14"/>
              </w:rPr>
              <w:t>Date</w:t>
            </w:r>
          </w:p>
        </w:tc>
        <w:tc>
          <w:tcPr>
            <w:tcW w:type="dxa" w:w="1081"/>
            <w:shd w:fill="D9E2F3"/>
          </w:tcPr>
          <w:p>
            <w:pPr>
              <w:jc w:val="center"/>
            </w:pPr>
            <w:r>
              <w:rPr>
                <w:rFonts w:ascii="Times New Roman" w:hAnsi="Times New Roman"/>
                <w:b/>
                <w:sz w:val="14"/>
              </w:rPr>
              <w:t>Cost</w:t>
            </w:r>
          </w:p>
        </w:tc>
        <w:tc>
          <w:tcPr>
            <w:tcW w:type="dxa" w:w="1081"/>
            <w:shd w:fill="D9E2F3"/>
          </w:tcPr>
          <w:p>
            <w:pPr>
              <w:jc w:val="center"/>
            </w:pPr>
            <w:r>
              <w:rPr>
                <w:rFonts w:ascii="Times New Roman" w:hAnsi="Times New Roman"/>
                <w:b/>
                <w:sz w:val="14"/>
              </w:rPr>
              <w:t>Value</w:t>
            </w:r>
          </w:p>
        </w:tc>
        <w:tc>
          <w:tcPr>
            <w:tcW w:type="dxa" w:w="1081"/>
            <w:shd w:fill="D9E2F3"/>
          </w:tcPr>
          <w:p>
            <w:pPr>
              <w:jc w:val="center"/>
            </w:pPr>
            <w:r>
              <w:rPr>
                <w:rFonts w:ascii="Times New Roman" w:hAnsi="Times New Roman"/>
                <w:b/>
                <w:sz w:val="14"/>
              </w:rPr>
              <w:t>T</w:t>
            </w:r>
          </w:p>
        </w:tc>
        <w:tc>
          <w:tcPr>
            <w:tcW w:type="dxa" w:w="1081"/>
            <w:shd w:fill="D9E2F3"/>
          </w:tcPr>
          <w:p>
            <w:pPr>
              <w:jc w:val="center"/>
            </w:pPr>
            <w:r>
              <w:rPr>
                <w:rFonts w:ascii="Times New Roman" w:hAnsi="Times New Roman"/>
                <w:b/>
                <w:sz w:val="14"/>
              </w:rPr>
              <w:t>Rate</w:t>
            </w:r>
          </w:p>
        </w:tc>
        <w:tc>
          <w:tcPr>
            <w:tcW w:type="dxa" w:w="1081"/>
            <w:shd w:fill="D9E2F3"/>
          </w:tcPr>
          <w:p>
            <w:pPr>
              <w:jc w:val="center"/>
            </w:pPr>
            <w:r>
              <w:rPr>
                <w:rFonts w:ascii="Times New Roman" w:hAnsi="Times New Roman"/>
                <w:b/>
                <w:sz w:val="14"/>
              </w:rPr>
              <w:t>Deprec</w:t>
            </w:r>
          </w:p>
        </w:tc>
        <w:tc>
          <w:tcPr>
            <w:tcW w:type="dxa" w:w="1081"/>
            <w:shd w:fill="D9E2F3"/>
          </w:tcPr>
          <w:p>
            <w:pPr>
              <w:jc w:val="center"/>
            </w:pPr>
            <w:r>
              <w:rPr>
                <w:rFonts w:ascii="Times New Roman" w:hAnsi="Times New Roman"/>
                <w:b/>
                <w:sz w:val="14"/>
              </w:rPr>
              <w:t>Priv</w:t>
            </w:r>
          </w:p>
        </w:tc>
        <w:tc>
          <w:tcPr>
            <w:tcW w:type="dxa" w:w="1081"/>
            <w:shd w:fill="D9E2F3"/>
          </w:tcPr>
          <w:p>
            <w:pPr>
              <w:jc w:val="center"/>
            </w:pPr>
            <w:r>
              <w:rPr>
                <w:rFonts w:ascii="Times New Roman" w:hAnsi="Times New Roman"/>
                <w:b/>
                <w:sz w:val="14"/>
              </w:rPr>
              <w:t>CWDV</w:t>
            </w:r>
          </w:p>
        </w:tc>
      </w:tr>
      <w:tr>
        <w:tc>
          <w:tcPr>
            <w:tcW w:type="dxa" w:w="1081"/>
          </w:tcPr>
          <w:p>
            <w:pPr>
              <w:jc w:val="left"/>
            </w:pPr>
            <w:r>
              <w:rPr>
                <w:rFonts w:ascii="Times New Roman" w:hAnsi="Times New Roman"/>
                <w:sz w:val="14"/>
              </w:rPr>
              <w:t>Toyota HiAce Van</w:t>
            </w:r>
          </w:p>
        </w:tc>
        <w:tc>
          <w:tcPr>
            <w:tcW w:type="dxa" w:w="1081"/>
          </w:tcPr>
          <w:p>
            <w:pPr>
              <w:jc w:val="right"/>
            </w:pPr>
            <w:r>
              <w:rPr>
                <w:rFonts w:ascii="Times New Roman" w:hAnsi="Times New Roman"/>
                <w:sz w:val="14"/>
              </w:rPr>
              <w:t>45,000</w:t>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t>22,000</w:t>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t>d</w:t>
            </w:r>
          </w:p>
        </w:tc>
        <w:tc>
          <w:tcPr>
            <w:tcW w:type="dxa" w:w="1081"/>
          </w:tcPr>
          <w:p>
            <w:pPr>
              <w:jc w:val="right"/>
            </w:pPr>
            <w:r>
              <w:rPr>
                <w:rFonts w:ascii="Times New Roman" w:hAnsi="Times New Roman"/>
                <w:sz w:val="14"/>
              </w:rPr>
              <w:t>25.00</w:t>
            </w:r>
          </w:p>
        </w:tc>
        <w:tc>
          <w:tcPr>
            <w:tcW w:type="dxa" w:w="1081"/>
          </w:tcPr>
          <w:p>
            <w:pPr>
              <w:jc w:val="right"/>
            </w:pPr>
            <w:r>
              <w:rPr>
                <w:rFonts w:ascii="Times New Roman" w:hAnsi="Times New Roman"/>
                <w:sz w:val="14"/>
              </w:rPr>
              <w:t>5,500</w:t>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t>16,500</w:t>
            </w:r>
          </w:p>
        </w:tc>
      </w:tr>
      <w:tr>
        <w:tc>
          <w:tcPr>
            <w:tcW w:type="dxa" w:w="1081"/>
          </w:tcPr>
          <w:p>
            <w:pPr>
              <w:jc w:val="left"/>
            </w:pPr>
            <w:r>
              <w:rPr>
                <w:rFonts w:ascii="Times New Roman" w:hAnsi="Times New Roman"/>
                <w:b/>
                <w:sz w:val="14"/>
              </w:rPr>
              <w:t>Subtotals</w:t>
            </w:r>
          </w:p>
        </w:tc>
        <w:tc>
          <w:tcPr>
            <w:tcW w:type="dxa" w:w="1081"/>
          </w:tcPr>
          <w:p>
            <w:pPr>
              <w:jc w:val="right"/>
            </w:pPr>
            <w:r>
              <w:rPr>
                <w:rFonts w:ascii="Times New Roman" w:hAnsi="Times New Roman"/>
                <w:b/>
                <w:sz w:val="14"/>
              </w:rPr>
              <w:t>45,000</w:t>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t>22,000</w:t>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t>5,500</w:t>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t>16,500</w:t>
            </w:r>
          </w:p>
        </w:tc>
      </w:tr>
    </w:tbl>
    <w:p>
      <w:pPr>
        <w:spacing w:after="80"/>
      </w:pPr>
    </w:p>
    <w:p>
      <w:pPr>
        <w:spacing w:before="0" w:after="40"/>
        <w:jc w:val="left"/>
      </w:pPr>
      <w:r>
        <w:rPr>
          <w:rFonts w:ascii="Times New Roman" w:hAnsi="Times New Roman" w:eastAsia="Times New Roman"/>
          <w:b w:val="0"/>
          <w:i w:val="0"/>
          <w:sz w:val="16"/>
        </w:rPr>
        <w:t xml:space="preserve">Deduct Private Portion: </w:t>
      </w:r>
    </w:p>
    <w:p>
      <w:pPr>
        <w:spacing w:after="120"/>
      </w:pPr>
      <w:r>
        <w:rPr>
          <w:rFonts w:ascii="Times New Roman" w:hAnsi="Times New Roman"/>
          <w:b/>
          <w:sz w:val="16"/>
          <w:u w:val="single"/>
        </w:rPr>
        <w:t>Net Depreciation: 5,500</w:t>
      </w:r>
    </w:p>
    <w:p>
      <w:pPr>
        <w:sectPr>
          <w:type w:val="nextColumn"/>
          <w:pgSz w:w="16838" w:h="11906" w:orient="landscape"/>
          <w:pgMar w:top="850" w:right="850" w:bottom="850" w:left="850" w:header="720" w:footer="720" w:gutter="0"/>
          <w:cols w:space="720"/>
          <w:docGrid w:linePitch="360"/>
        </w:sectPr>
      </w:pPr>
    </w:p>
    <w:p>
      <w:pPr>
        <w:spacing w:before="0" w:after="0"/>
        <w:jc w:val="center"/>
      </w:pPr>
      <w:r>
        <w:rPr>
          <w:rFonts w:ascii="Times New Roman" w:hAnsi="Times New Roman" w:eastAsia="Times New Roman"/>
          <w:b/>
          <w:i w:val="0"/>
          <w:sz w:val="28"/>
        </w:rPr>
        <w:t>Foothills Conference Centre Pty Ltd</w:t>
      </w:r>
    </w:p>
    <w:p>
      <w:pPr>
        <w:spacing w:before="0" w:after="0"/>
        <w:jc w:val="center"/>
      </w:pPr>
      <w:r>
        <w:rPr>
          <w:rFonts w:ascii="Times New Roman" w:hAnsi="Times New Roman" w:eastAsia="Times New Roman"/>
          <w:b/>
          <w:i w:val="0"/>
          <w:sz w:val="22"/>
        </w:rPr>
        <w:t>ABN 92 164 525 311</w:t>
      </w:r>
    </w:p>
    <w:p>
      <w:pPr>
        <w:spacing w:before="0" w:after="0"/>
        <w:jc w:val="center"/>
      </w:pPr>
      <w:r>
        <w:rPr>
          <w:rFonts w:ascii="Times New Roman" w:hAnsi="Times New Roman" w:eastAsia="Times New Roman"/>
          <w:b/>
          <w:i w:val="0"/>
          <w:sz w:val="24"/>
        </w:rPr>
        <w:t>Depreciation Schedule</w:t>
      </w:r>
    </w:p>
    <w:p>
      <w:pPr>
        <w:spacing w:before="0" w:after="40"/>
        <w:jc w:val="center"/>
      </w:pPr>
      <w:r>
        <w:rPr>
          <w:rFonts w:ascii="Times New Roman" w:hAnsi="Times New Roman" w:eastAsia="Times New Roman"/>
          <w:b/>
          <w:i w:val="0"/>
          <w:sz w:val="22"/>
        </w:rPr>
        <w:t>for the year ended 30 June, 2025</w:t>
      </w:r>
    </w:p>
    <w:p>
      <w:pPr>
        <w:spacing w:before="40" w:after="40"/>
        <w:pBdr>
          <w:bottom w:val="single" w:sz="12" w:space="1" w:color="000000"/>
        </w:pBdr>
      </w:pPr>
    </w:p>
    <w:p>
      <w:pPr>
        <w:spacing w:before="0" w:after="120"/>
        <w:jc w:val="left"/>
      </w:pPr>
      <w:r>
        <w:rPr>
          <w:rFonts w:ascii="Times New Roman" w:hAnsi="Times New Roman" w:eastAsia="Times New Roman"/>
          <w:b/>
          <w:i w:val="0"/>
          <w:sz w:val="20"/>
          <w:u w:val="single"/>
        </w:rPr>
        <w:t>Office Equipment</w:t>
      </w:r>
    </w:p>
    <w:tbl>
      <w:tblPr>
        <w:tblW w:type="auto" w:w="0"/>
        <w:jc w:val="center"/>
        <w:tblLayout w:type="autofit"/>
        <w:tblLook w:firstColumn="1" w:firstRow="1" w:lastColumn="0" w:lastRow="0" w:noHBand="0" w:noVBand="1" w:val="04A0"/>
      </w:tblPr>
      <w:tblGrid>
        <w:gridCol w:w="1081"/>
        <w:gridCol w:w="1081"/>
        <w:gridCol w:w="1081"/>
        <w:gridCol w:w="1081"/>
        <w:gridCol w:w="1081"/>
        <w:gridCol w:w="1081"/>
        <w:gridCol w:w="1081"/>
        <w:gridCol w:w="1081"/>
        <w:gridCol w:w="1081"/>
        <w:gridCol w:w="1081"/>
        <w:gridCol w:w="1081"/>
        <w:gridCol w:w="1081"/>
        <w:gridCol w:w="1081"/>
        <w:gridCol w:w="1081"/>
      </w:tblGrid>
      <w:tr>
        <w:tc>
          <w:tcPr>
            <w:tcW w:type="dxa" w:w="1081"/>
            <w:shd w:fill="D9E2F3"/>
          </w:tcPr>
          <w:p>
            <w:pPr>
              <w:jc w:val="center"/>
            </w:pPr>
            <w:r>
              <w:rPr>
                <w:rFonts w:ascii="Times New Roman" w:hAnsi="Times New Roman"/>
                <w:b/>
                <w:sz w:val="14"/>
              </w:rPr>
              <w:t>Asset</w:t>
            </w:r>
          </w:p>
        </w:tc>
        <w:tc>
          <w:tcPr>
            <w:tcW w:type="dxa" w:w="1081"/>
            <w:shd w:fill="D9E2F3"/>
          </w:tcPr>
          <w:p>
            <w:pPr>
              <w:jc w:val="center"/>
            </w:pPr>
            <w:r>
              <w:rPr>
                <w:rFonts w:ascii="Times New Roman" w:hAnsi="Times New Roman"/>
                <w:b/>
                <w:sz w:val="14"/>
              </w:rPr>
              <w:t>Total</w:t>
            </w:r>
          </w:p>
        </w:tc>
        <w:tc>
          <w:tcPr>
            <w:tcW w:type="dxa" w:w="1081"/>
            <w:shd w:fill="D9E2F3"/>
          </w:tcPr>
          <w:p>
            <w:pPr>
              <w:jc w:val="center"/>
            </w:pPr>
            <w:r>
              <w:rPr>
                <w:rFonts w:ascii="Times New Roman" w:hAnsi="Times New Roman"/>
                <w:b/>
                <w:sz w:val="14"/>
              </w:rPr>
              <w:t>Priv</w:t>
              <w:br/>
              <w:t>%</w:t>
            </w:r>
          </w:p>
        </w:tc>
        <w:tc>
          <w:tcPr>
            <w:tcW w:type="dxa" w:w="1081"/>
            <w:shd w:fill="D9E2F3"/>
          </w:tcPr>
          <w:p>
            <w:pPr>
              <w:jc w:val="center"/>
            </w:pPr>
            <w:r>
              <w:rPr>
                <w:rFonts w:ascii="Times New Roman" w:hAnsi="Times New Roman"/>
                <w:b/>
                <w:sz w:val="14"/>
              </w:rPr>
              <w:t>OWDV</w:t>
            </w:r>
          </w:p>
        </w:tc>
        <w:tc>
          <w:tcPr>
            <w:tcW w:type="dxa" w:w="1081"/>
            <w:shd w:fill="D9E2F3"/>
          </w:tcPr>
          <w:p>
            <w:pPr>
              <w:jc w:val="center"/>
            </w:pPr>
            <w:r>
              <w:rPr>
                <w:rFonts w:ascii="Times New Roman" w:hAnsi="Times New Roman"/>
                <w:b/>
                <w:sz w:val="14"/>
              </w:rPr>
              <w:t>Date</w:t>
            </w:r>
          </w:p>
        </w:tc>
        <w:tc>
          <w:tcPr>
            <w:tcW w:type="dxa" w:w="1081"/>
            <w:shd w:fill="D9E2F3"/>
          </w:tcPr>
          <w:p>
            <w:pPr>
              <w:jc w:val="center"/>
            </w:pPr>
            <w:r>
              <w:rPr>
                <w:rFonts w:ascii="Times New Roman" w:hAnsi="Times New Roman"/>
                <w:b/>
                <w:sz w:val="14"/>
              </w:rPr>
              <w:t>Consid</w:t>
            </w:r>
          </w:p>
        </w:tc>
        <w:tc>
          <w:tcPr>
            <w:tcW w:type="dxa" w:w="1081"/>
            <w:shd w:fill="D9E2F3"/>
          </w:tcPr>
          <w:p>
            <w:pPr>
              <w:jc w:val="center"/>
            </w:pPr>
            <w:r>
              <w:rPr>
                <w:rFonts w:ascii="Times New Roman" w:hAnsi="Times New Roman"/>
                <w:b/>
                <w:sz w:val="14"/>
              </w:rPr>
              <w:t>Date</w:t>
            </w:r>
          </w:p>
        </w:tc>
        <w:tc>
          <w:tcPr>
            <w:tcW w:type="dxa" w:w="1081"/>
            <w:shd w:fill="D9E2F3"/>
          </w:tcPr>
          <w:p>
            <w:pPr>
              <w:jc w:val="center"/>
            </w:pPr>
            <w:r>
              <w:rPr>
                <w:rFonts w:ascii="Times New Roman" w:hAnsi="Times New Roman"/>
                <w:b/>
                <w:sz w:val="14"/>
              </w:rPr>
              <w:t>Cost</w:t>
            </w:r>
          </w:p>
        </w:tc>
        <w:tc>
          <w:tcPr>
            <w:tcW w:type="dxa" w:w="1081"/>
            <w:shd w:fill="D9E2F3"/>
          </w:tcPr>
          <w:p>
            <w:pPr>
              <w:jc w:val="center"/>
            </w:pPr>
            <w:r>
              <w:rPr>
                <w:rFonts w:ascii="Times New Roman" w:hAnsi="Times New Roman"/>
                <w:b/>
                <w:sz w:val="14"/>
              </w:rPr>
              <w:t>Value</w:t>
            </w:r>
          </w:p>
        </w:tc>
        <w:tc>
          <w:tcPr>
            <w:tcW w:type="dxa" w:w="1081"/>
            <w:shd w:fill="D9E2F3"/>
          </w:tcPr>
          <w:p>
            <w:pPr>
              <w:jc w:val="center"/>
            </w:pPr>
            <w:r>
              <w:rPr>
                <w:rFonts w:ascii="Times New Roman" w:hAnsi="Times New Roman"/>
                <w:b/>
                <w:sz w:val="14"/>
              </w:rPr>
              <w:t>T</w:t>
            </w:r>
          </w:p>
        </w:tc>
        <w:tc>
          <w:tcPr>
            <w:tcW w:type="dxa" w:w="1081"/>
            <w:shd w:fill="D9E2F3"/>
          </w:tcPr>
          <w:p>
            <w:pPr>
              <w:jc w:val="center"/>
            </w:pPr>
            <w:r>
              <w:rPr>
                <w:rFonts w:ascii="Times New Roman" w:hAnsi="Times New Roman"/>
                <w:b/>
                <w:sz w:val="14"/>
              </w:rPr>
              <w:t>Rate</w:t>
            </w:r>
          </w:p>
        </w:tc>
        <w:tc>
          <w:tcPr>
            <w:tcW w:type="dxa" w:w="1081"/>
            <w:shd w:fill="D9E2F3"/>
          </w:tcPr>
          <w:p>
            <w:pPr>
              <w:jc w:val="center"/>
            </w:pPr>
            <w:r>
              <w:rPr>
                <w:rFonts w:ascii="Times New Roman" w:hAnsi="Times New Roman"/>
                <w:b/>
                <w:sz w:val="14"/>
              </w:rPr>
              <w:t>Deprec</w:t>
            </w:r>
          </w:p>
        </w:tc>
        <w:tc>
          <w:tcPr>
            <w:tcW w:type="dxa" w:w="1081"/>
            <w:shd w:fill="D9E2F3"/>
          </w:tcPr>
          <w:p>
            <w:pPr>
              <w:jc w:val="center"/>
            </w:pPr>
            <w:r>
              <w:rPr>
                <w:rFonts w:ascii="Times New Roman" w:hAnsi="Times New Roman"/>
                <w:b/>
                <w:sz w:val="14"/>
              </w:rPr>
              <w:t>Priv</w:t>
            </w:r>
          </w:p>
        </w:tc>
        <w:tc>
          <w:tcPr>
            <w:tcW w:type="dxa" w:w="1081"/>
            <w:shd w:fill="D9E2F3"/>
          </w:tcPr>
          <w:p>
            <w:pPr>
              <w:jc w:val="center"/>
            </w:pPr>
            <w:r>
              <w:rPr>
                <w:rFonts w:ascii="Times New Roman" w:hAnsi="Times New Roman"/>
                <w:b/>
                <w:sz w:val="14"/>
              </w:rPr>
              <w:t>CWDV</w:t>
            </w:r>
          </w:p>
        </w:tc>
      </w:tr>
      <w:tr>
        <w:tc>
          <w:tcPr>
            <w:tcW w:type="dxa" w:w="1081"/>
          </w:tcPr>
          <w:p>
            <w:pPr>
              <w:jc w:val="left"/>
            </w:pPr>
            <w:r>
              <w:rPr>
                <w:rFonts w:ascii="Times New Roman" w:hAnsi="Times New Roman"/>
                <w:sz w:val="14"/>
              </w:rPr>
              <w:t>Printer/Scanner</w:t>
            </w:r>
          </w:p>
        </w:tc>
        <w:tc>
          <w:tcPr>
            <w:tcW w:type="dxa" w:w="1081"/>
          </w:tcPr>
          <w:p>
            <w:pPr>
              <w:jc w:val="right"/>
            </w:pPr>
            <w:r>
              <w:rPr>
                <w:rFonts w:ascii="Times New Roman" w:hAnsi="Times New Roman"/>
                <w:sz w:val="14"/>
              </w:rPr>
              <w:t>1,200</w:t>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t>800</w:t>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t>p</w:t>
            </w:r>
          </w:p>
        </w:tc>
        <w:tc>
          <w:tcPr>
            <w:tcW w:type="dxa" w:w="1081"/>
          </w:tcPr>
          <w:p>
            <w:pPr>
              <w:jc w:val="right"/>
            </w:pPr>
            <w:r>
              <w:rPr>
                <w:rFonts w:ascii="Times New Roman" w:hAnsi="Times New Roman"/>
                <w:sz w:val="14"/>
              </w:rPr>
              <w:t>33.33</w:t>
            </w:r>
          </w:p>
        </w:tc>
        <w:tc>
          <w:tcPr>
            <w:tcW w:type="dxa" w:w="1081"/>
          </w:tcPr>
          <w:p>
            <w:pPr>
              <w:jc w:val="right"/>
            </w:pPr>
            <w:r>
              <w:rPr>
                <w:rFonts w:ascii="Times New Roman" w:hAnsi="Times New Roman"/>
                <w:sz w:val="14"/>
              </w:rPr>
              <w:t>400</w:t>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t>400</w:t>
            </w:r>
          </w:p>
        </w:tc>
      </w:tr>
      <w:tr>
        <w:tc>
          <w:tcPr>
            <w:tcW w:type="dxa" w:w="1081"/>
          </w:tcPr>
          <w:p>
            <w:pPr>
              <w:jc w:val="left"/>
            </w:pPr>
            <w:r>
              <w:rPr>
                <w:rFonts w:ascii="Times New Roman" w:hAnsi="Times New Roman"/>
                <w:sz w:val="14"/>
              </w:rPr>
              <w:t>Reception Computer System</w:t>
            </w:r>
          </w:p>
        </w:tc>
        <w:tc>
          <w:tcPr>
            <w:tcW w:type="dxa" w:w="1081"/>
          </w:tcPr>
          <w:p>
            <w:pPr>
              <w:jc w:val="right"/>
            </w:pPr>
            <w:r>
              <w:rPr>
                <w:rFonts w:ascii="Times New Roman" w:hAnsi="Times New Roman"/>
                <w:sz w:val="14"/>
              </w:rPr>
              <w:t>3,000</w:t>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t>2,000</w:t>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t>p</w:t>
            </w:r>
          </w:p>
        </w:tc>
        <w:tc>
          <w:tcPr>
            <w:tcW w:type="dxa" w:w="1081"/>
          </w:tcPr>
          <w:p>
            <w:pPr>
              <w:jc w:val="right"/>
            </w:pPr>
            <w:r>
              <w:rPr>
                <w:rFonts w:ascii="Times New Roman" w:hAnsi="Times New Roman"/>
                <w:sz w:val="14"/>
              </w:rPr>
              <w:t>33.33</w:t>
            </w:r>
          </w:p>
        </w:tc>
        <w:tc>
          <w:tcPr>
            <w:tcW w:type="dxa" w:w="1081"/>
          </w:tcPr>
          <w:p>
            <w:pPr>
              <w:jc w:val="right"/>
            </w:pPr>
            <w:r>
              <w:rPr>
                <w:rFonts w:ascii="Times New Roman" w:hAnsi="Times New Roman"/>
                <w:sz w:val="14"/>
              </w:rPr>
              <w:t>1,000</w:t>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t>1,000</w:t>
            </w:r>
          </w:p>
        </w:tc>
      </w:tr>
      <w:tr>
        <w:tc>
          <w:tcPr>
            <w:tcW w:type="dxa" w:w="1081"/>
          </w:tcPr>
          <w:p>
            <w:pPr>
              <w:jc w:val="left"/>
            </w:pPr>
            <w:r>
              <w:rPr>
                <w:rFonts w:ascii="Times New Roman" w:hAnsi="Times New Roman"/>
                <w:b/>
                <w:sz w:val="14"/>
              </w:rPr>
              <w:t>Subtotals</w:t>
            </w:r>
          </w:p>
        </w:tc>
        <w:tc>
          <w:tcPr>
            <w:tcW w:type="dxa" w:w="1081"/>
          </w:tcPr>
          <w:p>
            <w:pPr>
              <w:jc w:val="right"/>
            </w:pPr>
            <w:r>
              <w:rPr>
                <w:rFonts w:ascii="Times New Roman" w:hAnsi="Times New Roman"/>
                <w:b/>
                <w:sz w:val="14"/>
              </w:rPr>
              <w:t>4,200</w:t>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t>2,800</w:t>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t>1,400</w:t>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t>1,400</w:t>
            </w:r>
          </w:p>
        </w:tc>
      </w:tr>
    </w:tbl>
    <w:p>
      <w:pPr>
        <w:spacing w:after="80"/>
      </w:pPr>
    </w:p>
    <w:p>
      <w:pPr>
        <w:spacing w:before="0" w:after="40"/>
        <w:jc w:val="left"/>
      </w:pPr>
      <w:r>
        <w:rPr>
          <w:rFonts w:ascii="Times New Roman" w:hAnsi="Times New Roman" w:eastAsia="Times New Roman"/>
          <w:b w:val="0"/>
          <w:i w:val="0"/>
          <w:sz w:val="16"/>
        </w:rPr>
        <w:t xml:space="preserve">Deduct Private Portion: </w:t>
      </w:r>
    </w:p>
    <w:p>
      <w:pPr>
        <w:spacing w:after="120"/>
      </w:pPr>
      <w:r>
        <w:rPr>
          <w:rFonts w:ascii="Times New Roman" w:hAnsi="Times New Roman"/>
          <w:b/>
          <w:sz w:val="16"/>
          <w:u w:val="single"/>
        </w:rPr>
        <w:t>Net Depreciation: 1,400</w:t>
      </w:r>
    </w:p>
    <w:p>
      <w:pPr>
        <w:sectPr>
          <w:type w:val="nextColumn"/>
          <w:pgSz w:w="16838" w:h="11906" w:orient="landscape"/>
          <w:pgMar w:top="850" w:right="850" w:bottom="850" w:left="850" w:header="720" w:footer="720" w:gutter="0"/>
          <w:cols w:space="720"/>
          <w:docGrid w:linePitch="360"/>
        </w:sectPr>
      </w:pPr>
    </w:p>
    <w:p>
      <w:pPr>
        <w:spacing w:before="0" w:after="0"/>
        <w:jc w:val="center"/>
      </w:pPr>
      <w:r>
        <w:rPr>
          <w:rFonts w:ascii="Times New Roman" w:hAnsi="Times New Roman" w:eastAsia="Times New Roman"/>
          <w:b/>
          <w:i w:val="0"/>
          <w:sz w:val="28"/>
        </w:rPr>
        <w:t>Foothills Conference Centre Pty Ltd</w:t>
      </w:r>
    </w:p>
    <w:p>
      <w:pPr>
        <w:spacing w:before="0" w:after="0"/>
        <w:jc w:val="center"/>
      </w:pPr>
      <w:r>
        <w:rPr>
          <w:rFonts w:ascii="Times New Roman" w:hAnsi="Times New Roman" w:eastAsia="Times New Roman"/>
          <w:b/>
          <w:i w:val="0"/>
          <w:sz w:val="22"/>
        </w:rPr>
        <w:t>ABN 92 164 525 311</w:t>
      </w:r>
    </w:p>
    <w:p>
      <w:pPr>
        <w:spacing w:before="0" w:after="0"/>
        <w:jc w:val="center"/>
      </w:pPr>
      <w:r>
        <w:rPr>
          <w:rFonts w:ascii="Times New Roman" w:hAnsi="Times New Roman" w:eastAsia="Times New Roman"/>
          <w:b/>
          <w:i w:val="0"/>
          <w:sz w:val="24"/>
        </w:rPr>
        <w:t>Notes to the Financial Statements</w:t>
      </w:r>
    </w:p>
    <w:p>
      <w:pPr>
        <w:spacing w:before="0" w:after="40"/>
        <w:jc w:val="center"/>
      </w:pPr>
      <w:r>
        <w:rPr>
          <w:rFonts w:ascii="Times New Roman" w:hAnsi="Times New Roman" w:eastAsia="Times New Roman"/>
          <w:b/>
          <w:i w:val="0"/>
          <w:sz w:val="22"/>
        </w:rPr>
        <w:t>For the year ended 30 June 2025</w:t>
      </w:r>
    </w:p>
    <w:p>
      <w:pPr>
        <w:spacing w:before="40" w:after="40"/>
        <w:pBdr>
          <w:bottom w:val="single" w:sz="12" w:space="1" w:color="000000"/>
        </w:pBdr>
      </w:pPr>
    </w:p>
    <w:p>
      <w:pPr>
        <w:spacing w:before="0" w:after="240"/>
        <w:jc w:val="left"/>
      </w:pPr>
      <w:r>
        <w:rPr>
          <w:rFonts w:ascii="Times New Roman" w:hAnsi="Times New Roman" w:eastAsia="Times New Roman"/>
          <w:b/>
          <w:i w:val="0"/>
          <w:sz w:val="28"/>
        </w:rPr>
        <w:t>Note 1:  Summary of Significant Accounting Policies</w:t>
      </w:r>
    </w:p>
    <w:p>
      <w:pPr>
        <w:spacing w:before="0" w:after="120"/>
        <w:jc w:val="left"/>
      </w:pPr>
      <w:r>
        <w:rPr>
          <w:rFonts w:ascii="Times New Roman" w:hAnsi="Times New Roman" w:eastAsia="Times New Roman"/>
          <w:b/>
          <w:i w:val="0"/>
          <w:sz w:val="20"/>
        </w:rPr>
        <w:t>Basis of Preparation</w:t>
      </w:r>
    </w:p>
    <w:p>
      <w:pPr>
        <w:spacing w:before="0" w:after="120"/>
        <w:jc w:val="both"/>
      </w:pPr>
      <w:r>
        <w:rPr>
          <w:rFonts w:ascii="Times New Roman" w:hAnsi="Times New Roman" w:eastAsia="Times New Roman"/>
          <w:b w:val="0"/>
          <w:i w:val="0"/>
          <w:sz w:val="20"/>
        </w:rPr>
        <w:t>The directors have prepared the financial statements on the basis that the company is a non-reporting entity because there are no users dependent on general purpose financial statements. The financial statements are therefore special purpose financial statements that have been prepared in order to meet the needs of members.</w:t>
      </w:r>
    </w:p>
    <w:p>
      <w:pPr>
        <w:spacing w:before="0" w:after="120"/>
        <w:jc w:val="both"/>
      </w:pPr>
      <w:r>
        <w:rPr>
          <w:rFonts w:ascii="Times New Roman" w:hAnsi="Times New Roman" w:eastAsia="Times New Roman"/>
          <w:b w:val="0"/>
          <w:i w:val="0"/>
          <w:sz w:val="20"/>
        </w:rPr>
        <w:t>The financial statements have been prepared in accordance with the significant accounting policies disclosed below, which the director have determined are appropriate to meet the needs of members. Such accounting policies are consistent with the previous period unless stated otherwise.</w:t>
      </w:r>
    </w:p>
    <w:p>
      <w:pPr>
        <w:spacing w:before="0" w:after="200"/>
        <w:jc w:val="both"/>
      </w:pPr>
      <w:r>
        <w:rPr>
          <w:rFonts w:ascii="Times New Roman" w:hAnsi="Times New Roman" w:eastAsia="Times New Roman"/>
          <w:b w:val="0"/>
          <w:i w:val="0"/>
          <w:sz w:val="20"/>
        </w:rPr>
        <w:t>The financial statements have been prepared on an accrual basis and are based on historical costs unless otherwise stated in the notes. The accounting policies that have been adopted in the preparation of the statements are as follows:</w:t>
      </w:r>
    </w:p>
    <w:p>
      <w:pPr>
        <w:spacing w:before="0" w:after="120"/>
        <w:jc w:val="left"/>
      </w:pPr>
      <w:r>
        <w:rPr>
          <w:rFonts w:ascii="Times New Roman" w:hAnsi="Times New Roman" w:eastAsia="Times New Roman"/>
          <w:b/>
          <w:i w:val="0"/>
          <w:sz w:val="20"/>
        </w:rPr>
        <w:t>(a)   Property, Plant and Equipment (PPE)</w:t>
      </w:r>
    </w:p>
    <w:p>
      <w:pPr>
        <w:spacing w:before="0" w:after="120"/>
        <w:ind w:firstLine="850"/>
        <w:jc w:val="both"/>
      </w:pPr>
      <w:r>
        <w:rPr>
          <w:rFonts w:ascii="Times New Roman" w:hAnsi="Times New Roman" w:eastAsia="Times New Roman"/>
          <w:b w:val="0"/>
          <w:i w:val="0"/>
          <w:sz w:val="20"/>
        </w:rPr>
        <w:t>All property, plant and equipment except for freehold land and buildings are initially measured at cost and are depreciated over their useful lives on a straight-line basis. Depreciation commences from the time the asset is available for its intended use. Leasehold improvements are depreciated over the shorter of either the unexpired period of the lease or the estimated useful lives of the improvements.</w:t>
      </w:r>
    </w:p>
    <w:p>
      <w:pPr>
        <w:spacing w:before="0" w:after="120"/>
        <w:ind w:firstLine="850"/>
        <w:jc w:val="both"/>
      </w:pPr>
      <w:r>
        <w:rPr>
          <w:rFonts w:ascii="Times New Roman" w:hAnsi="Times New Roman" w:eastAsia="Times New Roman"/>
          <w:b w:val="0"/>
          <w:i w:val="0"/>
          <w:sz w:val="20"/>
        </w:rPr>
        <w:t>The carrying amount of plant and equipment is reviewed annually by the director to ensure it is not in excess of the recoverable amount from these assets. The recoverable amount is assessed on the basis of the expected net cash flows that will be received from the asset's employment and subsequent disposal. The expected net cash flows have not been discounted in determining recoverable amounts.</w:t>
      </w:r>
    </w:p>
    <w:p>
      <w:pPr>
        <w:spacing w:before="0" w:after="200"/>
        <w:ind w:firstLine="850"/>
        <w:jc w:val="both"/>
      </w:pPr>
      <w:r>
        <w:rPr>
          <w:rFonts w:ascii="Times New Roman" w:hAnsi="Times New Roman" w:eastAsia="Times New Roman"/>
          <w:b w:val="0"/>
          <w:i w:val="0"/>
          <w:sz w:val="20"/>
        </w:rPr>
        <w:t>Subsequent costs are included in the asset's carrying amount or recognised as a separate asset, as appropriate, only when it is probable that future economic benefits associated with the item will flow to the company and the cost of the item can be measured reliably. All other repairs and maintenance are recognised as expenses in profit or loss during the financial period in which they are incurred.</w:t>
      </w:r>
    </w:p>
    <w:p>
      <w:pPr>
        <w:spacing w:before="0" w:after="120"/>
        <w:jc w:val="left"/>
      </w:pPr>
      <w:r>
        <w:rPr>
          <w:rFonts w:ascii="Times New Roman" w:hAnsi="Times New Roman" w:eastAsia="Times New Roman"/>
          <w:b/>
          <w:i w:val="0"/>
          <w:sz w:val="20"/>
        </w:rPr>
        <w:t>(b)   Impairment of Assets</w:t>
      </w:r>
    </w:p>
    <w:p>
      <w:pPr>
        <w:spacing w:before="0" w:after="200"/>
        <w:ind w:firstLine="850"/>
        <w:jc w:val="both"/>
      </w:pPr>
      <w:r>
        <w:rPr>
          <w:rFonts w:ascii="Times New Roman" w:hAnsi="Times New Roman" w:eastAsia="Times New Roman"/>
          <w:b w:val="0"/>
          <w:i w:val="0"/>
          <w:sz w:val="20"/>
        </w:rPr>
        <w:t>At the end of each reporting period, property, plant and equipment, intangible assets and investments are reviewed to determine whether there is any indication that those assets have suffered an impairment loss. If there is an indication of possible impairment, the recoverable amount of any affected asset (or group of related assets) is estimated and compared with its carrying amount. The recoverable amount is the higher of the asset's fair value less costs of disposal and the present value of the asset's future cash flows discounted at the expected rate of return. If the estimated recoverable amount is lower, the carrying amount is reduced to the estimated recoverable amount and an impairment loss is recognised immediately in profit or loss.</w:t>
      </w:r>
    </w:p>
    <w:p>
      <w:pPr>
        <w:spacing w:before="0" w:after="120"/>
        <w:jc w:val="left"/>
      </w:pPr>
      <w:r>
        <w:rPr>
          <w:rFonts w:ascii="Times New Roman" w:hAnsi="Times New Roman" w:eastAsia="Times New Roman"/>
          <w:b/>
          <w:i w:val="0"/>
          <w:sz w:val="20"/>
        </w:rPr>
        <w:t>(c)   Trade and Other Receivables</w:t>
      </w:r>
    </w:p>
    <w:p>
      <w:pPr>
        <w:spacing w:before="0" w:after="200"/>
        <w:ind w:firstLine="850"/>
        <w:jc w:val="both"/>
      </w:pPr>
      <w:r>
        <w:rPr>
          <w:rFonts w:ascii="Times New Roman" w:hAnsi="Times New Roman" w:eastAsia="Times New Roman"/>
          <w:b w:val="0"/>
          <w:i w:val="0"/>
          <w:sz w:val="20"/>
        </w:rPr>
        <w:t>Trade receivables are initially recognised at fair value and subsequently measured at amortised cost using the effective interest method, less any allowance for expected credit losses. Trade receivables are generally due for settlement within 30 days.</w:t>
      </w:r>
    </w:p>
    <w:p>
      <w:pPr>
        <w:spacing w:before="0" w:after="120"/>
        <w:jc w:val="left"/>
      </w:pPr>
      <w:r>
        <w:rPr>
          <w:rFonts w:ascii="Times New Roman" w:hAnsi="Times New Roman" w:eastAsia="Times New Roman"/>
          <w:b/>
          <w:i w:val="0"/>
          <w:sz w:val="20"/>
        </w:rPr>
        <w:t>(d)   Cash and Cash Equivalents</w:t>
      </w:r>
    </w:p>
    <w:p>
      <w:pPr>
        <w:spacing w:before="0" w:after="200"/>
        <w:ind w:firstLine="850"/>
        <w:jc w:val="both"/>
      </w:pPr>
      <w:r>
        <w:rPr>
          <w:rFonts w:ascii="Times New Roman" w:hAnsi="Times New Roman" w:eastAsia="Times New Roman"/>
          <w:b w:val="0"/>
          <w:i w:val="0"/>
          <w:sz w:val="20"/>
        </w:rPr>
        <w:t>Cash and cash equivalents include cash on hand, deposits held at call with banks, other short-term highly liquid investments with original maturities of three months or less, and bank overdrafts. Bank overdrafts are shown within borrowings in current liabilities on the balance sheet.</w:t>
      </w:r>
    </w:p>
    <w:p>
      <w:pPr>
        <w:spacing w:before="0" w:after="120"/>
        <w:jc w:val="left"/>
      </w:pPr>
      <w:r>
        <w:rPr>
          <w:rFonts w:ascii="Times New Roman" w:hAnsi="Times New Roman" w:eastAsia="Times New Roman"/>
          <w:b/>
          <w:i w:val="0"/>
          <w:sz w:val="20"/>
        </w:rPr>
        <w:t>(e)   Trade and Other Payables</w:t>
      </w:r>
    </w:p>
    <w:p>
      <w:pPr>
        <w:spacing w:before="0" w:after="200"/>
        <w:ind w:firstLine="850"/>
        <w:jc w:val="both"/>
      </w:pPr>
      <w:r>
        <w:rPr>
          <w:rFonts w:ascii="Times New Roman" w:hAnsi="Times New Roman" w:eastAsia="Times New Roman"/>
          <w:b w:val="0"/>
          <w:i w:val="0"/>
          <w:sz w:val="20"/>
        </w:rPr>
        <w:t>Trade and other payables represent the liabilities for goods and services received by the entity that remain unpaid at the end of the reporting period. The balance is recognised as a current liability with the amounts normally paid within 30 days of recognition of the liability.</w:t>
      </w:r>
    </w:p>
    <w:p>
      <w:pPr>
        <w:spacing w:before="0" w:after="120"/>
        <w:jc w:val="left"/>
      </w:pPr>
      <w:r>
        <w:rPr>
          <w:rFonts w:ascii="Times New Roman" w:hAnsi="Times New Roman" w:eastAsia="Times New Roman"/>
          <w:b/>
          <w:i w:val="0"/>
          <w:sz w:val="20"/>
        </w:rPr>
        <w:t>(f)   Revenue and Other Income</w:t>
      </w:r>
    </w:p>
    <w:p>
      <w:pPr>
        <w:spacing w:before="0" w:after="120"/>
        <w:ind w:firstLine="850"/>
        <w:jc w:val="both"/>
      </w:pPr>
      <w:r>
        <w:rPr>
          <w:rFonts w:ascii="Times New Roman" w:hAnsi="Times New Roman" w:eastAsia="Times New Roman"/>
          <w:b w:val="0"/>
          <w:i w:val="0"/>
          <w:sz w:val="20"/>
        </w:rPr>
        <w:t>Revenue is measured at the value of the consideration received or receivable after taking into account any trade discounts and volume rebates allowed. For this purpose, deferred consideration is not discounted to present values when recognising revenue.</w:t>
      </w:r>
    </w:p>
    <w:p>
      <w:pPr>
        <w:spacing w:before="0" w:after="120"/>
        <w:ind w:firstLine="850"/>
        <w:jc w:val="both"/>
      </w:pPr>
      <w:r>
        <w:rPr>
          <w:rFonts w:ascii="Times New Roman" w:hAnsi="Times New Roman" w:eastAsia="Times New Roman"/>
          <w:b w:val="0"/>
          <w:i w:val="0"/>
          <w:sz w:val="20"/>
        </w:rPr>
        <w:t>Interest revenue is recognised using the effective interest rate method, which, for floating rate financial assets, is the rate inherent in the instrument. Dividend revenue is recognised when the right to receive a dividend has been established.</w:t>
      </w:r>
    </w:p>
    <w:p>
      <w:pPr>
        <w:spacing w:before="0" w:after="120"/>
        <w:ind w:firstLine="850"/>
        <w:jc w:val="both"/>
      </w:pPr>
      <w:r>
        <w:rPr>
          <w:rFonts w:ascii="Times New Roman" w:hAnsi="Times New Roman" w:eastAsia="Times New Roman"/>
          <w:b w:val="0"/>
          <w:i w:val="0"/>
          <w:sz w:val="20"/>
        </w:rPr>
        <w:t>Revenue recognised related to the provision of services is determined with reference to the stage of completion of the transaction at the end of the reporting period and where outcome of the contract can be estimated reliably. Stage of completion is determined with reference to the services performed to date as a percentage of total anticipated services to be performed. Where the outcome cannot be estimated reliably, revenue is recognised only to the extent that related expenditure is recoverable.</w:t>
      </w:r>
    </w:p>
    <w:p>
      <w:pPr>
        <w:spacing w:before="0" w:after="200"/>
        <w:ind w:firstLine="850"/>
        <w:jc w:val="both"/>
      </w:pPr>
      <w:r>
        <w:rPr>
          <w:rFonts w:ascii="Times New Roman" w:hAnsi="Times New Roman" w:eastAsia="Times New Roman"/>
          <w:b w:val="0"/>
          <w:i w:val="0"/>
          <w:sz w:val="20"/>
        </w:rPr>
        <w:t>All revenue is stated net of the amount of goods and services tax (GST).</w:t>
      </w:r>
    </w:p>
    <w:p>
      <w:pPr>
        <w:spacing w:before="0" w:after="120"/>
        <w:jc w:val="left"/>
      </w:pPr>
      <w:r>
        <w:rPr>
          <w:rFonts w:ascii="Times New Roman" w:hAnsi="Times New Roman" w:eastAsia="Times New Roman"/>
          <w:b/>
          <w:i w:val="0"/>
          <w:sz w:val="20"/>
        </w:rPr>
        <w:t>(g)   Leases</w:t>
      </w:r>
    </w:p>
    <w:p>
      <w:pPr>
        <w:spacing w:before="0" w:after="80"/>
        <w:ind w:firstLine="850"/>
        <w:jc w:val="left"/>
      </w:pPr>
      <w:r>
        <w:rPr>
          <w:rFonts w:ascii="Times New Roman" w:hAnsi="Times New Roman" w:eastAsia="Times New Roman"/>
          <w:b/>
          <w:i w:val="0"/>
          <w:sz w:val="20"/>
        </w:rPr>
        <w:t>The company as lessee</w:t>
      </w:r>
    </w:p>
    <w:p>
      <w:pPr>
        <w:spacing w:before="0" w:after="120"/>
        <w:ind w:firstLine="850"/>
        <w:jc w:val="both"/>
      </w:pPr>
      <w:r>
        <w:rPr>
          <w:rFonts w:ascii="Times New Roman" w:hAnsi="Times New Roman" w:eastAsia="Times New Roman"/>
          <w:b w:val="0"/>
          <w:i w:val="0"/>
          <w:sz w:val="20"/>
        </w:rPr>
        <w:t>At inception of a contract, the company assesses if the contract contains or is a lease under AASB 16 Leases. Where a lease exists, a right-of-use asset and a corresponding lease liability are recognised by the company where the company is a lessee. However, all contracts that are classified as short-term leases (i.e. lease with remaining lease term of 12 months or less) and leases of low value assets will be recognised as an operating expense on a straight-line basis over the term of the lease.</w:t>
      </w:r>
    </w:p>
    <w:p>
      <w:pPr>
        <w:spacing w:before="0" w:after="200"/>
        <w:ind w:firstLine="850"/>
        <w:jc w:val="both"/>
      </w:pPr>
      <w:r>
        <w:rPr>
          <w:rFonts w:ascii="Times New Roman" w:hAnsi="Times New Roman" w:eastAsia="Times New Roman"/>
          <w:b w:val="0"/>
          <w:i w:val="0"/>
          <w:sz w:val="20"/>
        </w:rPr>
        <w:t>The company does not act as a lessor in relation to lease contracts.</w:t>
      </w:r>
    </w:p>
    <w:p>
      <w:pPr>
        <w:spacing w:before="0" w:after="120"/>
        <w:jc w:val="left"/>
      </w:pPr>
      <w:r>
        <w:rPr>
          <w:rFonts w:ascii="Times New Roman" w:hAnsi="Times New Roman" w:eastAsia="Times New Roman"/>
          <w:b/>
          <w:i w:val="0"/>
          <w:sz w:val="20"/>
        </w:rPr>
        <w:t>(h)   Goods and Services Tax (GST)</w:t>
      </w:r>
    </w:p>
    <w:p>
      <w:pPr>
        <w:spacing w:before="0" w:after="120"/>
        <w:ind w:firstLine="850"/>
        <w:jc w:val="both"/>
      </w:pPr>
      <w:r>
        <w:rPr>
          <w:rFonts w:ascii="Times New Roman" w:hAnsi="Times New Roman" w:eastAsia="Times New Roman"/>
          <w:b w:val="0"/>
          <w:i w:val="0"/>
          <w:sz w:val="20"/>
        </w:rPr>
        <w:t>Revenues, expenses and assets are recognised net of the amount of GST, except where the amount of GST incurred is not recoverable from the Australian Taxation Office (ATO). In these circumstances, the GST is recognised as part of the cost of acquisition of the asset or as part of an item of the expense. Receivables and payables in the balance sheet are shown inclusive of GST.</w:t>
      </w:r>
    </w:p>
    <w:p>
      <w:pPr>
        <w:spacing w:before="0" w:after="200"/>
        <w:ind w:firstLine="850"/>
        <w:jc w:val="both"/>
      </w:pPr>
      <w:r>
        <w:rPr>
          <w:rFonts w:ascii="Times New Roman" w:hAnsi="Times New Roman" w:eastAsia="Times New Roman"/>
          <w:b w:val="0"/>
          <w:i w:val="0"/>
          <w:sz w:val="20"/>
        </w:rPr>
        <w:t>Cash flows are presented in the cash flow statement on a gross basis, except for the GST components of investing and financing activities, which are disclosed as operating cash flows.</w:t>
      </w:r>
    </w:p>
    <w:p>
      <w:pPr>
        <w:spacing w:before="40" w:after="40"/>
        <w:pBdr>
          <w:bottom w:val="single" w:sz="12" w:space="1" w:color="000000"/>
        </w:pBdr>
      </w:pPr>
    </w:p>
    <w:p>
      <w:pPr>
        <w:spacing w:before="0" w:after="40"/>
        <w:jc w:val="center"/>
      </w:pPr>
      <w:r>
        <w:rPr>
          <w:rFonts w:ascii="Times New Roman" w:hAnsi="Times New Roman" w:eastAsia="Times New Roman"/>
          <w:b/>
          <w:i w:val="0"/>
          <w:sz w:val="16"/>
        </w:rPr>
        <w:t>These notes should be read in conjunction with the attached financial statements and compilation report of M C &amp; S Pty Ltd.</w:t>
      </w:r>
    </w:p>
    <w:p>
      <w:r>
        <w:br w:type="page"/>
      </w:r>
    </w:p>
    <w:p>
      <w:pPr>
        <w:spacing w:before="0" w:after="0"/>
        <w:jc w:val="center"/>
      </w:pPr>
      <w:r>
        <w:rPr>
          <w:rFonts w:ascii="Times New Roman" w:hAnsi="Times New Roman" w:eastAsia="Times New Roman"/>
          <w:b/>
          <w:i w:val="0"/>
          <w:sz w:val="28"/>
        </w:rPr>
        <w:t>Foothills Conference Centre Pty Ltd</w:t>
      </w:r>
    </w:p>
    <w:p>
      <w:pPr>
        <w:spacing w:before="0" w:after="0"/>
        <w:jc w:val="center"/>
      </w:pPr>
      <w:r>
        <w:rPr>
          <w:rFonts w:ascii="Times New Roman" w:hAnsi="Times New Roman" w:eastAsia="Times New Roman"/>
          <w:b/>
          <w:i w:val="0"/>
          <w:sz w:val="22"/>
        </w:rPr>
        <w:t>ABN 92 164 525 311</w:t>
      </w:r>
    </w:p>
    <w:p>
      <w:pPr>
        <w:spacing w:before="0" w:after="0"/>
        <w:jc w:val="center"/>
      </w:pPr>
      <w:r>
        <w:rPr>
          <w:rFonts w:ascii="Times New Roman" w:hAnsi="Times New Roman" w:eastAsia="Times New Roman"/>
          <w:b/>
          <w:i w:val="0"/>
          <w:sz w:val="24"/>
        </w:rPr>
        <w:t>Notes to the Financial Statements</w:t>
      </w:r>
    </w:p>
    <w:p>
      <w:pPr>
        <w:spacing w:before="0" w:after="40"/>
        <w:jc w:val="center"/>
      </w:pPr>
      <w:r>
        <w:rPr>
          <w:rFonts w:ascii="Times New Roman" w:hAnsi="Times New Roman" w:eastAsia="Times New Roman"/>
          <w:b/>
          <w:i w:val="0"/>
          <w:sz w:val="22"/>
        </w:rPr>
        <w:t>For the year ended 30 June 2025</w:t>
      </w:r>
    </w:p>
    <w:p>
      <w:pPr>
        <w:spacing w:before="40" w:after="40"/>
        <w:pBdr>
          <w:bottom w:val="single" w:sz="12" w:space="1" w:color="000000"/>
        </w:pBdr>
      </w:pPr>
    </w:p>
    <w:p>
      <w:pPr>
        <w:tabs>
          <w:tab w:pos="9071" w:val="right"/>
        </w:tabs>
        <w:spacing w:after="0"/>
      </w:pPr>
      <w:r>
        <w:rPr>
          <w:rFonts w:ascii="Times New Roman" w:hAnsi="Times New Roman" w:eastAsia="Times New Roman"/>
          <w:b/>
          <w:i w:val="0"/>
          <w:sz w:val="20"/>
        </w:rPr>
        <w:tab/>
        <w:t>2025</w:t>
      </w:r>
    </w:p>
    <w:p>
      <w:pPr>
        <w:spacing w:before="40" w:after="40"/>
        <w:pBdr>
          <w:bottom w:val="single" w:sz="12" w:space="1" w:color="000000"/>
        </w:pBdr>
      </w:pPr>
    </w:p>
    <w:p>
      <w:pPr>
        <w:spacing w:after="120"/>
      </w:pPr>
    </w:p>
    <w:p>
      <w:pPr>
        <w:spacing w:before="0" w:after="160"/>
        <w:jc w:val="left"/>
      </w:pPr>
      <w:r>
        <w:rPr>
          <w:rFonts w:ascii="Times New Roman" w:hAnsi="Times New Roman" w:eastAsia="Times New Roman"/>
          <w:b/>
          <w:i w:val="0"/>
          <w:sz w:val="28"/>
        </w:rPr>
        <w:t>Note 2:  Revenue</w:t>
      </w:r>
    </w:p>
    <w:p>
      <w:pPr>
        <w:spacing w:before="0" w:after="80"/>
        <w:jc w:val="left"/>
      </w:pPr>
      <w:r>
        <w:rPr>
          <w:rFonts w:ascii="Times New Roman" w:hAnsi="Times New Roman" w:eastAsia="Times New Roman"/>
          <w:b/>
          <w:i w:val="0"/>
          <w:sz w:val="20"/>
        </w:rPr>
        <w:t>Operating Activities:</w:t>
      </w:r>
    </w:p>
    <w:p>
      <w:pPr>
        <w:spacing w:before="0" w:after="40"/>
        <w:jc w:val="left"/>
      </w:pPr>
      <w:r>
        <w:rPr>
          <w:rFonts w:ascii="Times New Roman" w:hAnsi="Times New Roman" w:eastAsia="Times New Roman"/>
          <w:b w:val="0"/>
          <w:i w:val="0"/>
          <w:sz w:val="20"/>
        </w:rPr>
        <w:t>Sales revenue:</w:t>
      </w:r>
    </w:p>
    <w:p>
      <w:pPr>
        <w:tabs>
          <w:tab w:pos="6803" w:val="right"/>
          <w:tab w:pos="9071" w:val="right"/>
        </w:tabs>
        <w:spacing w:before="20" w:after="20"/>
        <w:ind w:left="283"/>
      </w:pPr>
      <w:r>
        <w:rPr>
          <w:rFonts w:ascii="Times New Roman" w:hAnsi="Times New Roman" w:eastAsia="Times New Roman"/>
          <w:b w:val="0"/>
          <w:i w:val="0"/>
          <w:sz w:val="20"/>
        </w:rPr>
        <w:t>Non-primary production trading revenue</w:t>
      </w:r>
      <w:r>
        <w:rPr>
          <w:rFonts w:ascii="Times New Roman" w:hAnsi="Times New Roman" w:eastAsia="Times New Roman"/>
          <w:b w:val="0"/>
          <w:i w:val="0"/>
          <w:sz w:val="20"/>
        </w:rPr>
        <w:tab/>
        <w:t>2,724,313</w:t>
      </w:r>
    </w:p>
    <w:p>
      <w:pPr>
        <w:spacing w:after="80"/>
      </w:pPr>
    </w:p>
    <w:p>
      <w:pPr>
        <w:spacing w:before="0" w:after="40"/>
        <w:jc w:val="left"/>
      </w:pPr>
      <w:r>
        <w:rPr>
          <w:rFonts w:ascii="Times New Roman" w:hAnsi="Times New Roman" w:eastAsia="Times New Roman"/>
          <w:b w:val="0"/>
          <w:i w:val="0"/>
          <w:sz w:val="20"/>
        </w:rPr>
        <w:t>Other revenue:</w:t>
      </w:r>
    </w:p>
    <w:p>
      <w:pPr>
        <w:tabs>
          <w:tab w:pos="6803" w:val="right"/>
          <w:tab w:pos="9071" w:val="right"/>
        </w:tabs>
        <w:spacing w:before="20" w:after="20"/>
        <w:ind w:left="283"/>
      </w:pPr>
      <w:r>
        <w:rPr>
          <w:rFonts w:ascii="Times New Roman" w:hAnsi="Times New Roman" w:eastAsia="Times New Roman"/>
          <w:b w:val="0"/>
          <w:i w:val="0"/>
          <w:sz w:val="20"/>
        </w:rPr>
        <w:t>Interest received</w:t>
      </w:r>
      <w:r>
        <w:rPr>
          <w:rFonts w:ascii="Times New Roman" w:hAnsi="Times New Roman" w:eastAsia="Times New Roman"/>
          <w:b w:val="0"/>
          <w:i w:val="0"/>
          <w:sz w:val="20"/>
        </w:rPr>
        <w:tab/>
        <w:t>-</w:t>
      </w:r>
    </w:p>
    <w:p>
      <w:pPr>
        <w:tabs>
          <w:tab w:pos="6803" w:val="right"/>
          <w:tab w:pos="9071" w:val="right"/>
        </w:tabs>
        <w:spacing w:before="20" w:after="20"/>
        <w:ind w:left="283"/>
      </w:pPr>
      <w:r>
        <w:rPr>
          <w:rFonts w:ascii="Times New Roman" w:hAnsi="Times New Roman" w:eastAsia="Times New Roman"/>
          <w:b w:val="0"/>
          <w:i w:val="0"/>
          <w:sz w:val="20"/>
        </w:rPr>
        <w:t>Other income</w:t>
      </w:r>
      <w:r>
        <w:rPr>
          <w:rFonts w:ascii="Times New Roman" w:hAnsi="Times New Roman" w:eastAsia="Times New Roman"/>
          <w:b w:val="0"/>
          <w:i w:val="0"/>
          <w:sz w:val="20"/>
        </w:rPr>
        <w:tab/>
        <w:t>3,538</w:t>
      </w:r>
    </w:p>
    <w:p>
      <w:pPr>
        <w:tabs>
          <w:tab w:pos="6803" w:val="right"/>
          <w:tab w:pos="9071" w:val="right"/>
        </w:tabs>
        <w:spacing w:before="20" w:after="20"/>
        <w:ind w:left="283"/>
      </w:pPr>
      <w:r>
        <w:rPr>
          <w:rFonts w:ascii="Times New Roman" w:hAnsi="Times New Roman" w:eastAsia="Times New Roman"/>
          <w:b w:val="0"/>
          <w:i w:val="0"/>
          <w:sz w:val="20"/>
        </w:rPr>
        <w:t>FBT Employee Contribution</w:t>
      </w:r>
      <w:r>
        <w:rPr>
          <w:rFonts w:ascii="Times New Roman" w:hAnsi="Times New Roman" w:eastAsia="Times New Roman"/>
          <w:b w:val="0"/>
          <w:i w:val="0"/>
          <w:sz w:val="20"/>
        </w:rPr>
        <w:tab/>
        <w:t>4,545</w:t>
      </w:r>
    </w:p>
    <w:p>
      <w:pPr>
        <w:spacing w:after="40"/>
      </w:pPr>
    </w:p>
    <w:p>
      <w:pPr>
        <w:tabs>
          <w:tab w:pos="6803" w:val="right"/>
          <w:tab w:pos="9071" w:val="right"/>
        </w:tabs>
        <w:spacing w:before="20" w:after="20"/>
      </w:pPr>
      <w:r>
        <w:rPr>
          <w:rFonts w:ascii="Times New Roman" w:hAnsi="Times New Roman" w:eastAsia="Times New Roman"/>
          <w:b/>
          <w:i w:val="0"/>
          <w:sz w:val="20"/>
        </w:rPr>
      </w:r>
      <w:r>
        <w:rPr>
          <w:rFonts w:ascii="Times New Roman" w:hAnsi="Times New Roman" w:eastAsia="Times New Roman"/>
          <w:b/>
          <w:i w:val="0"/>
          <w:sz w:val="20"/>
        </w:rPr>
        <w:tab/>
        <w:t>2,732,397</w:t>
      </w:r>
    </w:p>
    <w:p>
      <w:pPr>
        <w:spacing w:after="160"/>
      </w:pPr>
    </w:p>
    <w:p>
      <w:pPr>
        <w:spacing w:before="0" w:after="120"/>
        <w:jc w:val="left"/>
      </w:pPr>
      <w:r>
        <w:rPr>
          <w:rFonts w:ascii="Times New Roman" w:hAnsi="Times New Roman" w:eastAsia="Times New Roman"/>
          <w:b/>
          <w:i w:val="0"/>
          <w:sz w:val="28"/>
        </w:rPr>
        <w:t>Note 3:  Profit from Ordinary Activities</w:t>
      </w:r>
    </w:p>
    <w:p>
      <w:pPr>
        <w:spacing w:before="0" w:after="160"/>
        <w:jc w:val="left"/>
      </w:pPr>
      <w:r>
        <w:rPr>
          <w:rFonts w:ascii="Times New Roman" w:hAnsi="Times New Roman" w:eastAsia="Times New Roman"/>
          <w:b w:val="0"/>
          <w:i w:val="0"/>
          <w:sz w:val="20"/>
        </w:rPr>
        <w:t>Profit (loss) from ordinary activities before income tax has been determined after:</w:t>
      </w:r>
    </w:p>
    <w:p>
      <w:pPr>
        <w:spacing w:before="0" w:after="80"/>
        <w:jc w:val="left"/>
      </w:pPr>
      <w:r>
        <w:rPr>
          <w:rFonts w:ascii="Times New Roman" w:hAnsi="Times New Roman" w:eastAsia="Times New Roman"/>
          <w:b/>
          <w:i w:val="0"/>
          <w:sz w:val="20"/>
        </w:rPr>
        <w:t>Charging as Expense:</w:t>
      </w:r>
    </w:p>
    <w:p>
      <w:pPr>
        <w:tabs>
          <w:tab w:pos="6803" w:val="right"/>
          <w:tab w:pos="9071" w:val="right"/>
        </w:tabs>
        <w:spacing w:before="20" w:after="20"/>
      </w:pPr>
      <w:r>
        <w:rPr>
          <w:rFonts w:ascii="Times New Roman" w:hAnsi="Times New Roman" w:eastAsia="Times New Roman"/>
          <w:b w:val="0"/>
          <w:i w:val="0"/>
          <w:sz w:val="20"/>
        </w:rPr>
        <w:t>Cost of non-primary production goods traded</w:t>
      </w:r>
      <w:r>
        <w:rPr>
          <w:rFonts w:ascii="Times New Roman" w:hAnsi="Times New Roman" w:eastAsia="Times New Roman"/>
          <w:b w:val="0"/>
          <w:i w:val="0"/>
          <w:sz w:val="20"/>
        </w:rPr>
        <w:tab/>
        <w:t>321,654</w:t>
      </w:r>
    </w:p>
    <w:p>
      <w:pPr>
        <w:spacing w:before="0" w:after="40"/>
        <w:jc w:val="left"/>
      </w:pPr>
      <w:r>
        <w:rPr>
          <w:rFonts w:ascii="Times New Roman" w:hAnsi="Times New Roman" w:eastAsia="Times New Roman"/>
          <w:b w:val="0"/>
          <w:i w:val="0"/>
          <w:sz w:val="20"/>
        </w:rPr>
        <w:t>Depreciation of non-current assets:</w:t>
      </w:r>
    </w:p>
    <w:p>
      <w:pPr>
        <w:tabs>
          <w:tab w:pos="6803" w:val="right"/>
          <w:tab w:pos="9071" w:val="right"/>
        </w:tabs>
        <w:spacing w:before="20" w:after="20"/>
        <w:ind w:left="283"/>
      </w:pPr>
      <w:r>
        <w:rPr>
          <w:rFonts w:ascii="Times New Roman" w:hAnsi="Times New Roman" w:eastAsia="Times New Roman"/>
          <w:b w:val="0"/>
          <w:i w:val="0"/>
          <w:sz w:val="20"/>
        </w:rPr>
        <w:t xml:space="preserve"> - Other</w:t>
      </w:r>
      <w:r>
        <w:rPr>
          <w:rFonts w:ascii="Times New Roman" w:hAnsi="Times New Roman" w:eastAsia="Times New Roman"/>
          <w:b w:val="0"/>
          <w:i w:val="0"/>
          <w:sz w:val="20"/>
        </w:rPr>
        <w:tab/>
        <w:t>17,562</w:t>
      </w:r>
    </w:p>
    <w:p>
      <w:pPr>
        <w:tabs>
          <w:tab w:pos="6803" w:val="right"/>
          <w:tab w:pos="9071" w:val="right"/>
        </w:tabs>
        <w:spacing w:before="20" w:after="20"/>
      </w:pPr>
      <w:r>
        <w:rPr>
          <w:rFonts w:ascii="Times New Roman" w:hAnsi="Times New Roman" w:eastAsia="Times New Roman"/>
          <w:b w:val="0"/>
          <w:i w:val="0"/>
          <w:sz w:val="20"/>
        </w:rPr>
        <w:t>Total depreciation expenses</w:t>
      </w:r>
      <w:r>
        <w:rPr>
          <w:rFonts w:ascii="Times New Roman" w:hAnsi="Times New Roman" w:eastAsia="Times New Roman"/>
          <w:b w:val="0"/>
          <w:i w:val="0"/>
          <w:sz w:val="20"/>
        </w:rPr>
        <w:tab/>
        <w:t>17,562</w:t>
      </w:r>
    </w:p>
    <w:p>
      <w:pPr>
        <w:spacing w:before="40" w:after="40"/>
        <w:pBdr>
          <w:bottom w:val="single" w:sz="12" w:space="1" w:color="000000"/>
        </w:pBdr>
      </w:pPr>
    </w:p>
    <w:p>
      <w:pPr>
        <w:spacing w:before="0" w:after="40"/>
        <w:jc w:val="center"/>
      </w:pPr>
      <w:r>
        <w:rPr>
          <w:rFonts w:ascii="Times New Roman" w:hAnsi="Times New Roman" w:eastAsia="Times New Roman"/>
          <w:b/>
          <w:i w:val="0"/>
          <w:sz w:val="16"/>
        </w:rPr>
        <w:t>These notes should be read in conjunction with the attached financial statements and compilation report of M C &amp; S Pty Ltd.</w:t>
      </w:r>
    </w:p>
    <w:p>
      <w:r>
        <w:br w:type="page"/>
      </w:r>
    </w:p>
    <w:p>
      <w:pPr>
        <w:spacing w:before="0" w:after="0"/>
        <w:jc w:val="center"/>
      </w:pPr>
      <w:r>
        <w:rPr>
          <w:rFonts w:ascii="Times New Roman" w:hAnsi="Times New Roman" w:eastAsia="Times New Roman"/>
          <w:b/>
          <w:i w:val="0"/>
          <w:sz w:val="28"/>
        </w:rPr>
        <w:t>Foothills Conference Centre Pty Ltd</w:t>
      </w:r>
    </w:p>
    <w:p>
      <w:pPr>
        <w:spacing w:before="0" w:after="0"/>
        <w:jc w:val="center"/>
      </w:pPr>
      <w:r>
        <w:rPr>
          <w:rFonts w:ascii="Times New Roman" w:hAnsi="Times New Roman" w:eastAsia="Times New Roman"/>
          <w:b/>
          <w:i w:val="0"/>
          <w:sz w:val="22"/>
        </w:rPr>
        <w:t>ABN 92 164 525 311</w:t>
      </w:r>
    </w:p>
    <w:p>
      <w:pPr>
        <w:spacing w:before="0" w:after="0"/>
        <w:jc w:val="center"/>
      </w:pPr>
      <w:r>
        <w:rPr>
          <w:rFonts w:ascii="Times New Roman" w:hAnsi="Times New Roman" w:eastAsia="Times New Roman"/>
          <w:b/>
          <w:i w:val="0"/>
          <w:sz w:val="24"/>
        </w:rPr>
        <w:t>Directors' Declaration</w:t>
      </w:r>
    </w:p>
    <w:p>
      <w:pPr>
        <w:spacing w:before="40" w:after="40"/>
        <w:pBdr>
          <w:bottom w:val="single" w:sz="12" w:space="1" w:color="000000"/>
        </w:pBdr>
      </w:pPr>
    </w:p>
    <w:p>
      <w:pPr>
        <w:spacing w:before="0" w:after="160"/>
        <w:jc w:val="both"/>
      </w:pPr>
      <w:r>
        <w:rPr>
          <w:rFonts w:ascii="Times New Roman" w:hAnsi="Times New Roman" w:eastAsia="Times New Roman"/>
          <w:b w:val="0"/>
          <w:i w:val="0"/>
          <w:sz w:val="20"/>
        </w:rPr>
        <w:t>The directors have determined that the company is not a reporting entity and that this special purpose financial report should be prepared in accordance with the accounting policies prescribed in Note 1 to the financial statements.</w:t>
      </w:r>
    </w:p>
    <w:p>
      <w:pPr>
        <w:spacing w:before="0" w:after="120"/>
        <w:jc w:val="left"/>
      </w:pPr>
      <w:r>
        <w:rPr>
          <w:rFonts w:ascii="Times New Roman" w:hAnsi="Times New Roman" w:eastAsia="Times New Roman"/>
          <w:b w:val="0"/>
          <w:i w:val="0"/>
          <w:sz w:val="20"/>
        </w:rPr>
        <w:t>The directors of the company declare that:</w:t>
      </w:r>
    </w:p>
    <w:p>
      <w:pPr>
        <w:spacing w:before="0" w:after="120"/>
        <w:jc w:val="both"/>
      </w:pPr>
      <w:r>
        <w:rPr>
          <w:rFonts w:ascii="Times New Roman" w:hAnsi="Times New Roman" w:eastAsia="Times New Roman"/>
          <w:b w:val="0"/>
          <w:i w:val="0"/>
          <w:sz w:val="20"/>
        </w:rPr>
        <w:t>1.  the financial statements and notes, present fairly the company's financial position as at 30 June 2025 and its performance for the year ended on that date in accordance with the accounting policies described in Note 1 to the financial statements;</w:t>
      </w:r>
    </w:p>
    <w:p>
      <w:pPr>
        <w:spacing w:before="0" w:after="240"/>
        <w:jc w:val="both"/>
      </w:pPr>
      <w:r>
        <w:rPr>
          <w:rFonts w:ascii="Times New Roman" w:hAnsi="Times New Roman" w:eastAsia="Times New Roman"/>
          <w:b w:val="0"/>
          <w:i w:val="0"/>
          <w:sz w:val="20"/>
        </w:rPr>
        <w:t>2.  in the directors's opinion, there are reasonable grounds to believe that the company will be able to pay its debts as and when they become due and payable.</w:t>
      </w:r>
    </w:p>
    <w:p>
      <w:pPr>
        <w:spacing w:before="0" w:after="400"/>
        <w:jc w:val="left"/>
      </w:pPr>
      <w:r>
        <w:rPr>
          <w:rFonts w:ascii="Times New Roman" w:hAnsi="Times New Roman" w:eastAsia="Times New Roman"/>
          <w:b w:val="0"/>
          <w:i w:val="0"/>
          <w:sz w:val="20"/>
        </w:rPr>
        <w:t>This declaration is made in accordance with a resolution of the directors.</w:t>
      </w:r>
    </w:p>
    <w:p>
      <w:pPr>
        <w:spacing w:after="400"/>
      </w:pPr>
    </w:p>
    <w:p>
      <w:pPr>
        <w:spacing w:before="0" w:after="0"/>
        <w:jc w:val="left"/>
      </w:pPr>
      <w:r>
        <w:rPr>
          <w:rFonts w:ascii="Times New Roman" w:hAnsi="Times New Roman" w:eastAsia="Times New Roman"/>
          <w:b w:val="0"/>
          <w:i w:val="0"/>
          <w:sz w:val="20"/>
        </w:rPr>
        <w:t>__________________________________________________</w:t>
      </w:r>
    </w:p>
    <w:p>
      <w:pPr>
        <w:spacing w:before="0" w:after="0"/>
        <w:jc w:val="left"/>
      </w:pPr>
      <w:r>
        <w:rPr>
          <w:rFonts w:ascii="Times New Roman" w:hAnsi="Times New Roman" w:eastAsia="Times New Roman"/>
          <w:b w:val="0"/>
          <w:i w:val="0"/>
          <w:sz w:val="20"/>
        </w:rPr>
        <w:t>Anthony Caruso</w:t>
      </w:r>
    </w:p>
    <w:p>
      <w:pPr>
        <w:spacing w:before="0" w:after="120"/>
        <w:jc w:val="left"/>
      </w:pPr>
      <w:r>
        <w:rPr>
          <w:rFonts w:ascii="Times New Roman" w:hAnsi="Times New Roman" w:eastAsia="Times New Roman"/>
          <w:b w:val="0"/>
          <w:i w:val="0"/>
          <w:sz w:val="20"/>
        </w:rPr>
        <w:t>Director</w:t>
      </w:r>
    </w:p>
    <w:p>
      <w:pPr>
        <w:spacing w:after="400"/>
      </w:pPr>
    </w:p>
    <w:p>
      <w:pPr>
        <w:spacing w:before="0" w:after="0"/>
        <w:jc w:val="left"/>
      </w:pPr>
      <w:r>
        <w:rPr>
          <w:rFonts w:ascii="Times New Roman" w:hAnsi="Times New Roman" w:eastAsia="Times New Roman"/>
          <w:b w:val="0"/>
          <w:i w:val="0"/>
          <w:sz w:val="20"/>
        </w:rPr>
        <w:t>__________________________________________________</w:t>
      </w:r>
    </w:p>
    <w:p>
      <w:pPr>
        <w:spacing w:before="0" w:after="0"/>
        <w:jc w:val="left"/>
      </w:pPr>
      <w:r>
        <w:rPr>
          <w:rFonts w:ascii="Times New Roman" w:hAnsi="Times New Roman" w:eastAsia="Times New Roman"/>
          <w:b w:val="0"/>
          <w:i w:val="0"/>
          <w:sz w:val="20"/>
        </w:rPr>
        <w:t>Maria Caruso</w:t>
      </w:r>
    </w:p>
    <w:p>
      <w:pPr>
        <w:spacing w:before="0" w:after="120"/>
        <w:jc w:val="left"/>
      </w:pPr>
      <w:r>
        <w:rPr>
          <w:rFonts w:ascii="Times New Roman" w:hAnsi="Times New Roman" w:eastAsia="Times New Roman"/>
          <w:b w:val="0"/>
          <w:i w:val="0"/>
          <w:sz w:val="20"/>
        </w:rPr>
        <w:t>Director</w:t>
      </w:r>
    </w:p>
    <w:p>
      <w:pPr>
        <w:spacing w:before="0" w:after="40"/>
        <w:jc w:val="left"/>
      </w:pPr>
      <w:r>
        <w:rPr>
          <w:rFonts w:ascii="Times New Roman" w:hAnsi="Times New Roman" w:eastAsia="Times New Roman"/>
          <w:b w:val="0"/>
          <w:i w:val="0"/>
          <w:sz w:val="20"/>
        </w:rPr>
        <w:t>Dated:</w:t>
      </w:r>
    </w:p>
    <w:p>
      <w:r>
        <w:br w:type="page"/>
      </w:r>
    </w:p>
    <w:sectPr w:rsidR="00FC693F" w:rsidRPr="0006063C" w:rsidSect="00034616">
      <w:type w:val="continuous"/>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