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0"/>
        <w:jc w:val="center"/>
      </w:pPr>
      <w:r>
        <w:rPr>
          <w:rFonts w:ascii="Times New Roman" w:hAnsi="Times New Roman" w:eastAsia="Times New Roman"/>
          <w:b/>
          <w:i w:val="0"/>
          <w:sz w:val="40"/>
        </w:rPr>
        <w:t>Neri Family Trust</w:t>
      </w:r>
    </w:p>
    <w:p>
      <w:pPr>
        <w:spacing w:before="0" w:after="240"/>
        <w:jc w:val="center"/>
      </w:pPr>
      <w:r>
        <w:rPr>
          <w:rFonts w:ascii="Times New Roman" w:hAnsi="Times New Roman" w:eastAsia="Times New Roman"/>
          <w:b w:val="0"/>
          <w:i w:val="0"/>
          <w:sz w:val="24"/>
        </w:rPr>
        <w:t>ABN 76 570 450 383</w:t>
      </w:r>
    </w:p>
    <w:p>
      <w:pPr>
        <w:spacing w:before="0" w:after="80"/>
        <w:jc w:val="center"/>
      </w:pPr>
      <w:r>
        <w:rPr>
          <w:rFonts w:ascii="Times New Roman" w:hAnsi="Times New Roman" w:eastAsia="Times New Roman"/>
          <w:b w:val="0"/>
          <w:i w:val="0"/>
          <w:sz w:val="32"/>
        </w:rPr>
        <w:t>Financial Statements</w:t>
      </w:r>
    </w:p>
    <w:p>
      <w:pPr>
        <w:spacing w:before="0" w:after="800"/>
        <w:jc w:val="center"/>
      </w:pPr>
      <w:r>
        <w:rPr>
          <w:rFonts w:ascii="Times New Roman" w:hAnsi="Times New Roman" w:eastAsia="Times New Roman"/>
          <w:b w:val="0"/>
          <w:i w:val="0"/>
          <w:sz w:val="24"/>
        </w:rPr>
        <w:t>For the year ended 30 June 2025</w:t>
      </w:r>
    </w:p>
    <w:p/>
    <w:p/>
    <w:p/>
    <w:p/>
    <w:p/>
    <w:p/>
    <w:p>
      <w:pPr>
        <w:spacing w:before="0" w:after="0"/>
        <w:jc w:val="center"/>
      </w:pPr>
      <w:r>
        <w:rPr>
          <w:rFonts w:ascii="Times New Roman" w:hAnsi="Times New Roman" w:eastAsia="Times New Roman"/>
          <w:b w:val="0"/>
          <w:i w:val="0"/>
          <w:sz w:val="20"/>
        </w:rPr>
        <w:t>M C &amp; S Pty Ltd</w:t>
      </w:r>
    </w:p>
    <w:p>
      <w:pPr>
        <w:spacing w:before="0" w:after="0"/>
        <w:jc w:val="center"/>
      </w:pPr>
      <w:r>
        <w:rPr>
          <w:rFonts w:ascii="Times New Roman" w:hAnsi="Times New Roman" w:eastAsia="Times New Roman"/>
          <w:b w:val="0"/>
          <w:i w:val="0"/>
          <w:sz w:val="20"/>
        </w:rPr>
        <w:t>PO Box 4440</w:t>
      </w:r>
    </w:p>
    <w:p>
      <w:pPr>
        <w:spacing w:before="0" w:after="0"/>
        <w:jc w:val="center"/>
      </w:pPr>
      <w:r>
        <w:rPr>
          <w:rFonts w:ascii="Times New Roman" w:hAnsi="Times New Roman" w:eastAsia="Times New Roman"/>
          <w:b w:val="0"/>
          <w:i w:val="0"/>
          <w:sz w:val="20"/>
        </w:rPr>
        <w:t>Dandenong South VIC 3164</w:t>
      </w:r>
    </w:p>
    <w:p>
      <w:pPr>
        <w:spacing w:before="0" w:after="0"/>
        <w:jc w:val="center"/>
      </w:pPr>
      <w:r>
        <w:rPr>
          <w:rFonts w:ascii="Times New Roman" w:hAnsi="Times New Roman" w:eastAsia="Times New Roman"/>
          <w:b w:val="0"/>
          <w:i w:val="0"/>
          <w:sz w:val="20"/>
        </w:rPr>
        <w:t>Phone: (03) 9794 0000</w:t>
      </w:r>
    </w:p>
    <w:p>
      <w:pPr>
        <w:spacing w:before="0" w:after="0"/>
        <w:jc w:val="center"/>
      </w:pPr>
      <w:r>
        <w:rPr>
          <w:rFonts w:ascii="Times New Roman" w:hAnsi="Times New Roman" w:eastAsia="Times New Roman"/>
          <w:b w:val="0"/>
          <w:i w:val="0"/>
          <w:sz w:val="20"/>
        </w:rPr>
        <w:t>Email: info@mcands.com.au</w:t>
      </w:r>
    </w:p>
    <w:p>
      <w:pPr>
        <w:spacing w:before="0" w:after="0"/>
        <w:jc w:val="center"/>
      </w:pPr>
      <w:r>
        <w:rPr>
          <w:rFonts w:ascii="Times New Roman" w:hAnsi="Times New Roman" w:eastAsia="Times New Roman"/>
          <w:b w:val="0"/>
          <w:i w:val="0"/>
          <w:sz w:val="20"/>
        </w:rPr>
        <w:t>Website: www.mcands.com.au</w:t>
      </w:r>
    </w:p>
    <w:p>
      <w:r>
        <w:br w:type="page"/>
      </w:r>
    </w:p>
    <w:p>
      <w:pPr>
        <w:spacing w:before="0" w:after="0"/>
        <w:jc w:val="center"/>
      </w:pPr>
      <w:r>
        <w:rPr>
          <w:rFonts w:ascii="Times New Roman" w:hAnsi="Times New Roman" w:eastAsia="Times New Roman"/>
          <w:b/>
          <w:i w:val="0"/>
          <w:sz w:val="28"/>
        </w:rPr>
        <w:t>Neri Family Trust</w:t>
      </w:r>
    </w:p>
    <w:p>
      <w:pPr>
        <w:spacing w:before="0" w:after="240"/>
        <w:jc w:val="center"/>
      </w:pPr>
      <w:r>
        <w:rPr>
          <w:rFonts w:ascii="Times New Roman" w:hAnsi="Times New Roman" w:eastAsia="Times New Roman"/>
          <w:b/>
          <w:i w:val="0"/>
          <w:sz w:val="22"/>
        </w:rPr>
        <w:t>ABN 76 570 450 383</w:t>
      </w:r>
    </w:p>
    <w:p>
      <w:pPr>
        <w:spacing w:before="0" w:after="240"/>
        <w:jc w:val="left"/>
      </w:pPr>
      <w:r>
        <w:rPr>
          <w:rFonts w:ascii="Times New Roman" w:hAnsi="Times New Roman" w:eastAsia="Times New Roman"/>
          <w:b/>
          <w:i w:val="0"/>
          <w:sz w:val="28"/>
        </w:rPr>
        <w:t>Contents</w:t>
      </w:r>
    </w:p>
    <w:p>
      <w:pPr>
        <w:spacing w:before="0" w:after="120"/>
        <w:jc w:val="left"/>
      </w:pPr>
      <w:r>
        <w:rPr>
          <w:rFonts w:ascii="Times New Roman" w:hAnsi="Times New Roman" w:eastAsia="Times New Roman"/>
          <w:b w:val="0"/>
          <w:i w:val="0"/>
          <w:sz w:val="22"/>
          <w:u w:val="single"/>
        </w:rPr>
        <w:t>Detailed Profit and Loss Statement</w:t>
      </w:r>
    </w:p>
    <w:p>
      <w:pPr>
        <w:spacing w:before="0" w:after="120"/>
        <w:jc w:val="left"/>
      </w:pPr>
      <w:r>
        <w:rPr>
          <w:rFonts w:ascii="Times New Roman" w:hAnsi="Times New Roman" w:eastAsia="Times New Roman"/>
          <w:b w:val="0"/>
          <w:i w:val="0"/>
          <w:sz w:val="22"/>
          <w:u w:val="single"/>
        </w:rPr>
        <w:t>Detailed Balance Sheet</w:t>
      </w:r>
    </w:p>
    <w:p>
      <w:pPr>
        <w:spacing w:before="0" w:after="120"/>
        <w:jc w:val="left"/>
      </w:pPr>
      <w:r>
        <w:rPr>
          <w:rFonts w:ascii="Times New Roman" w:hAnsi="Times New Roman" w:eastAsia="Times New Roman"/>
          <w:b w:val="0"/>
          <w:i w:val="0"/>
          <w:sz w:val="22"/>
          <w:u w:val="single"/>
        </w:rPr>
        <w:t>Notes to the Financial Statements</w:t>
      </w:r>
    </w:p>
    <w:p>
      <w:pPr>
        <w:spacing w:before="0" w:after="120"/>
        <w:jc w:val="left"/>
      </w:pPr>
      <w:r>
        <w:rPr>
          <w:rFonts w:ascii="Times New Roman" w:hAnsi="Times New Roman" w:eastAsia="Times New Roman"/>
          <w:b w:val="0"/>
          <w:i w:val="0"/>
          <w:sz w:val="22"/>
          <w:u w:val="single"/>
        </w:rPr>
        <w:t>Depreciation Schedule</w:t>
      </w:r>
    </w:p>
    <w:p>
      <w:pPr>
        <w:spacing w:before="0" w:after="120"/>
        <w:jc w:val="left"/>
      </w:pPr>
      <w:r>
        <w:rPr>
          <w:rFonts w:ascii="Times New Roman" w:hAnsi="Times New Roman" w:eastAsia="Times New Roman"/>
          <w:b w:val="0"/>
          <w:i w:val="0"/>
          <w:sz w:val="22"/>
          <w:u w:val="single"/>
        </w:rPr>
        <w:t>Trustee's Declaration</w:t>
      </w:r>
    </w:p>
    <w:p>
      <w:pPr>
        <w:spacing w:before="0" w:after="120"/>
        <w:jc w:val="left"/>
      </w:pPr>
      <w:r>
        <w:rPr>
          <w:rFonts w:ascii="Times New Roman" w:hAnsi="Times New Roman" w:eastAsia="Times New Roman"/>
          <w:b w:val="0"/>
          <w:i w:val="0"/>
          <w:sz w:val="22"/>
          <w:u w:val="single"/>
        </w:rPr>
        <w:t>Compilation Report</w:t>
      </w:r>
    </w:p>
    <w:p>
      <w:r>
        <w:br w:type="page"/>
      </w: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Detailed Profit and Loss Statement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Income</w:t>
      </w:r>
    </w:p>
    <w:p>
      <w:pPr>
        <w:tabs>
          <w:tab w:pos="6803" w:val="right"/>
          <w:tab w:pos="9071" w:val="right"/>
        </w:tabs>
        <w:spacing w:before="20" w:after="20"/>
        <w:ind w:left="283"/>
      </w:pPr>
      <w:r>
        <w:rPr>
          <w:rFonts w:ascii="Times New Roman" w:hAnsi="Times New Roman" w:eastAsia="Times New Roman"/>
          <w:b w:val="0"/>
          <w:i w:val="0"/>
          <w:sz w:val="20"/>
        </w:rPr>
        <w:t>Rent received</w:t>
      </w:r>
      <w:r>
        <w:rPr>
          <w:rFonts w:ascii="Times New Roman" w:hAnsi="Times New Roman" w:eastAsia="Times New Roman"/>
          <w:b w:val="0"/>
          <w:i w:val="0"/>
          <w:sz w:val="20"/>
        </w:rPr>
        <w:tab/>
        <w:t>65,000.00</w:t>
      </w:r>
    </w:p>
    <w:p>
      <w:pPr>
        <w:tabs>
          <w:tab w:pos="6803" w:val="right"/>
          <w:tab w:pos="9071" w:val="right"/>
        </w:tabs>
        <w:spacing w:before="20" w:after="20"/>
      </w:pPr>
      <w:r>
        <w:rPr>
          <w:rFonts w:ascii="Times New Roman" w:hAnsi="Times New Roman" w:eastAsia="Times New Roman"/>
          <w:b w:val="0"/>
          <w:i w:val="0"/>
          <w:sz w:val="20"/>
        </w:rPr>
        <w:t>Total income</w:t>
      </w:r>
      <w:r>
        <w:rPr>
          <w:rFonts w:ascii="Times New Roman" w:hAnsi="Times New Roman" w:eastAsia="Times New Roman"/>
          <w:b w:val="0"/>
          <w:i w:val="0"/>
          <w:sz w:val="20"/>
        </w:rPr>
        <w:tab/>
        <w:t>65,000.00</w:t>
      </w:r>
    </w:p>
    <w:p>
      <w:pPr>
        <w:spacing w:after="80"/>
      </w:pPr>
    </w:p>
    <w:p>
      <w:pPr>
        <w:tabs>
          <w:tab w:pos="6803" w:val="right"/>
          <w:tab w:pos="9071" w:val="right"/>
        </w:tabs>
        <w:spacing w:before="160" w:after="80"/>
      </w:pPr>
      <w:r>
        <w:rPr>
          <w:rFonts w:ascii="Times New Roman" w:hAnsi="Times New Roman" w:eastAsia="Times New Roman"/>
          <w:b/>
          <w:i w:val="0"/>
          <w:sz w:val="24"/>
        </w:rPr>
        <w:t>Expenses</w:t>
      </w:r>
    </w:p>
    <w:p>
      <w:pPr>
        <w:tabs>
          <w:tab w:pos="6803" w:val="right"/>
          <w:tab w:pos="9071" w:val="right"/>
        </w:tabs>
        <w:spacing w:before="20" w:after="20"/>
        <w:ind w:left="283"/>
      </w:pPr>
      <w:r>
        <w:rPr>
          <w:rFonts w:ascii="Times New Roman" w:hAnsi="Times New Roman" w:eastAsia="Times New Roman"/>
          <w:b w:val="0"/>
          <w:i w:val="0"/>
          <w:sz w:val="20"/>
        </w:rPr>
        <w:t>Accountancy</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Bank fees &amp; charges</w:t>
      </w:r>
      <w:r>
        <w:rPr>
          <w:rFonts w:ascii="Times New Roman" w:hAnsi="Times New Roman" w:eastAsia="Times New Roman"/>
          <w:b w:val="0"/>
          <w:i w:val="0"/>
          <w:sz w:val="20"/>
        </w:rPr>
        <w:tab/>
        <w:t>750.00</w:t>
      </w:r>
    </w:p>
    <w:p>
      <w:pPr>
        <w:tabs>
          <w:tab w:pos="6803" w:val="right"/>
          <w:tab w:pos="9071" w:val="right"/>
        </w:tabs>
        <w:spacing w:before="20" w:after="20"/>
        <w:ind w:left="283"/>
      </w:pPr>
      <w:r>
        <w:rPr>
          <w:rFonts w:ascii="Times New Roman" w:hAnsi="Times New Roman" w:eastAsia="Times New Roman"/>
          <w:b w:val="0"/>
          <w:i w:val="0"/>
          <w:sz w:val="20"/>
        </w:rPr>
        <w:t>Depreciation - Buildings</w:t>
      </w:r>
      <w:r>
        <w:rPr>
          <w:rFonts w:ascii="Times New Roman" w:hAnsi="Times New Roman" w:eastAsia="Times New Roman"/>
          <w:b w:val="0"/>
          <w:i w:val="0"/>
          <w:sz w:val="20"/>
        </w:rPr>
        <w:tab/>
        <w:t>14,811.00</w:t>
      </w:r>
    </w:p>
    <w:p>
      <w:pPr>
        <w:tabs>
          <w:tab w:pos="6803" w:val="right"/>
          <w:tab w:pos="9071" w:val="right"/>
        </w:tabs>
        <w:spacing w:before="20" w:after="20"/>
        <w:ind w:left="283"/>
      </w:pPr>
      <w:r>
        <w:rPr>
          <w:rFonts w:ascii="Times New Roman" w:hAnsi="Times New Roman" w:eastAsia="Times New Roman"/>
          <w:b w:val="0"/>
          <w:i w:val="0"/>
          <w:sz w:val="20"/>
        </w:rPr>
        <w:t>Depreciation - Other</w:t>
      </w:r>
      <w:r>
        <w:rPr>
          <w:rFonts w:ascii="Times New Roman" w:hAnsi="Times New Roman" w:eastAsia="Times New Roman"/>
          <w:b w:val="0"/>
          <w:i w:val="0"/>
          <w:sz w:val="20"/>
        </w:rPr>
        <w:tab/>
        <w:t>911.00</w:t>
      </w:r>
    </w:p>
    <w:p>
      <w:pPr>
        <w:tabs>
          <w:tab w:pos="6803" w:val="right"/>
          <w:tab w:pos="9071" w:val="right"/>
        </w:tabs>
        <w:spacing w:before="20" w:after="20"/>
        <w:ind w:left="283"/>
      </w:pPr>
      <w:r>
        <w:rPr>
          <w:rFonts w:ascii="Times New Roman" w:hAnsi="Times New Roman" w:eastAsia="Times New Roman"/>
          <w:b w:val="0"/>
          <w:i w:val="0"/>
          <w:sz w:val="20"/>
        </w:rPr>
        <w:t>Interest - Australia</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Management fees</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Rates &amp; land taxes</w:t>
      </w:r>
      <w:r>
        <w:rPr>
          <w:rFonts w:ascii="Times New Roman" w:hAnsi="Times New Roman" w:eastAsia="Times New Roman"/>
          <w:b w:val="0"/>
          <w:i w:val="0"/>
          <w:sz w:val="20"/>
        </w:rPr>
        <w:tab/>
        <w:t>9,887.00</w:t>
      </w:r>
    </w:p>
    <w:p>
      <w:pPr>
        <w:tabs>
          <w:tab w:pos="6803" w:val="right"/>
          <w:tab w:pos="9071" w:val="right"/>
        </w:tabs>
        <w:spacing w:before="20" w:after="20"/>
      </w:pPr>
      <w:r>
        <w:rPr>
          <w:rFonts w:ascii="Times New Roman" w:hAnsi="Times New Roman" w:eastAsia="Times New Roman"/>
          <w:b w:val="0"/>
          <w:i w:val="0"/>
          <w:sz w:val="20"/>
        </w:rPr>
        <w:t>Total expenses</w:t>
      </w:r>
      <w:r>
        <w:rPr>
          <w:rFonts w:ascii="Times New Roman" w:hAnsi="Times New Roman" w:eastAsia="Times New Roman"/>
          <w:b w:val="0"/>
          <w:i w:val="0"/>
          <w:sz w:val="20"/>
        </w:rPr>
        <w:tab/>
        <w:t>26,359.00</w:t>
      </w:r>
    </w:p>
    <w:p>
      <w:pPr>
        <w:spacing w:after="80"/>
      </w:pPr>
    </w:p>
    <w:p>
      <w:pPr>
        <w:tabs>
          <w:tab w:pos="6803" w:val="right"/>
          <w:tab w:pos="9071" w:val="right"/>
        </w:tabs>
        <w:spacing w:before="20" w:after="20"/>
      </w:pPr>
      <w:r>
        <w:rPr>
          <w:rFonts w:ascii="Times New Roman" w:hAnsi="Times New Roman" w:eastAsia="Times New Roman"/>
          <w:b/>
          <w:i w:val="0"/>
          <w:sz w:val="20"/>
        </w:rPr>
        <w:t>Net Profit from Ordinary Activities before income tax</w:t>
      </w:r>
      <w:r>
        <w:rPr>
          <w:rFonts w:ascii="Times New Roman" w:hAnsi="Times New Roman" w:eastAsia="Times New Roman"/>
          <w:b/>
          <w:i w:val="0"/>
          <w:sz w:val="20"/>
        </w:rPr>
        <w:tab/>
        <w:t>38,641.00</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Detailed Balance Sheet as at 30 June 2025</w:t>
      </w:r>
    </w:p>
    <w:p>
      <w:pPr>
        <w:spacing w:before="40" w:after="40"/>
        <w:pBdr>
          <w:bottom w:val="single" w:sz="12" w:space="1" w:color="000000"/>
        </w:pBdr>
      </w:pPr>
    </w:p>
    <w:p>
      <w:pPr>
        <w:tabs>
          <w:tab w:pos="6803" w:val="right"/>
          <w:tab w:pos="9071" w:val="right"/>
        </w:tabs>
        <w:spacing w:after="0"/>
      </w:pPr>
      <w:r>
        <w:rPr>
          <w:rFonts w:ascii="Times New Roman" w:hAnsi="Times New Roman" w:eastAsia="Times New Roman"/>
          <w:b/>
          <w:i w:val="0"/>
          <w:sz w:val="20"/>
        </w:rPr>
        <w:tab/>
        <w:t>Note</w:t>
      </w: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Non-Current Assets</w:t>
      </w:r>
    </w:p>
    <w:p>
      <w:pPr>
        <w:tabs>
          <w:tab w:pos="6803" w:val="right"/>
          <w:tab w:pos="9071" w:val="right"/>
        </w:tabs>
        <w:spacing w:before="160" w:after="80"/>
      </w:pPr>
      <w:r>
        <w:rPr>
          <w:rFonts w:ascii="Times New Roman" w:hAnsi="Times New Roman" w:eastAsia="Times New Roman"/>
          <w:b/>
          <w:i w:val="0"/>
          <w:sz w:val="20"/>
        </w:rPr>
        <w:t>Inventories</w:t>
      </w:r>
    </w:p>
    <w:p>
      <w:pPr>
        <w:tabs>
          <w:tab w:pos="6803" w:val="right"/>
          <w:tab w:pos="9071" w:val="right"/>
        </w:tabs>
        <w:spacing w:before="20" w:after="20"/>
        <w:ind w:left="283"/>
      </w:pPr>
      <w:r>
        <w:rPr>
          <w:rFonts w:ascii="Times New Roman" w:hAnsi="Times New Roman" w:eastAsia="Times New Roman"/>
          <w:b w:val="0"/>
          <w:i w:val="0"/>
          <w:sz w:val="20"/>
        </w:rPr>
        <w:t>Land held for resale</w:t>
      </w:r>
      <w:r>
        <w:rPr>
          <w:rFonts w:ascii="Times New Roman" w:hAnsi="Times New Roman" w:eastAsia="Times New Roman"/>
          <w:b w:val="0"/>
          <w:i w:val="0"/>
          <w:sz w:val="20"/>
        </w:rPr>
        <w:tab/>
        <w:t>283,000.00</w:t>
      </w:r>
    </w:p>
    <w:p>
      <w:pPr>
        <w:tabs>
          <w:tab w:pos="6803" w:val="right"/>
          <w:tab w:pos="9071" w:val="right"/>
        </w:tabs>
        <w:spacing w:before="160" w:after="80"/>
      </w:pPr>
      <w:r>
        <w:rPr>
          <w:rFonts w:ascii="Times New Roman" w:hAnsi="Times New Roman" w:eastAsia="Times New Roman"/>
          <w:b/>
          <w:i w:val="0"/>
          <w:sz w:val="20"/>
        </w:rPr>
        <w:t>Property, Plant and Equipment</w:t>
      </w:r>
    </w:p>
    <w:p>
      <w:pPr>
        <w:tabs>
          <w:tab w:pos="6803" w:val="right"/>
          <w:tab w:pos="9071" w:val="right"/>
        </w:tabs>
        <w:spacing w:before="20" w:after="20"/>
        <w:ind w:left="283"/>
      </w:pPr>
      <w:r>
        <w:rPr>
          <w:rFonts w:ascii="Times New Roman" w:hAnsi="Times New Roman" w:eastAsia="Times New Roman"/>
          <w:b w:val="0"/>
          <w:i w:val="0"/>
          <w:sz w:val="20"/>
        </w:rPr>
        <w:t>Buildings - At cost</w:t>
      </w:r>
      <w:r>
        <w:rPr>
          <w:rFonts w:ascii="Times New Roman" w:hAnsi="Times New Roman" w:eastAsia="Times New Roman"/>
          <w:b w:val="0"/>
          <w:i w:val="0"/>
          <w:sz w:val="20"/>
        </w:rPr>
        <w:tab/>
        <w:t>370,270.00</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(99,358.00)</w:t>
      </w:r>
    </w:p>
    <w:p>
      <w:pPr>
        <w:tabs>
          <w:tab w:pos="6803" w:val="right"/>
          <w:tab w:pos="9071" w:val="right"/>
        </w:tabs>
        <w:spacing w:before="20" w:after="20"/>
        <w:ind w:left="283"/>
      </w:pPr>
      <w:r>
        <w:rPr>
          <w:rFonts w:ascii="Times New Roman" w:hAnsi="Times New Roman" w:eastAsia="Times New Roman"/>
          <w:b w:val="0"/>
          <w:i w:val="0"/>
          <w:sz w:val="20"/>
        </w:rPr>
        <w:t>Fixtures &amp; fittings</w:t>
      </w:r>
      <w:r>
        <w:rPr>
          <w:rFonts w:ascii="Times New Roman" w:hAnsi="Times New Roman" w:eastAsia="Times New Roman"/>
          <w:b w:val="0"/>
          <w:i w:val="0"/>
          <w:sz w:val="20"/>
        </w:rPr>
        <w:tab/>
        <w:t>7,909.08</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(4,263.00)</w:t>
      </w:r>
    </w:p>
    <w:p>
      <w:pPr>
        <w:tabs>
          <w:tab w:pos="6803" w:val="right"/>
          <w:tab w:pos="9071" w:val="right"/>
        </w:tabs>
        <w:spacing w:before="20" w:after="20"/>
        <w:ind w:left="283"/>
      </w:pPr>
      <w:r>
        <w:rPr>
          <w:rFonts w:ascii="Times New Roman" w:hAnsi="Times New Roman" w:eastAsia="Times New Roman"/>
          <w:b w:val="0"/>
          <w:i w:val="0"/>
          <w:sz w:val="20"/>
        </w:rPr>
        <w:t>Plant &amp; equipment - At cost</w:t>
      </w:r>
      <w:r>
        <w:rPr>
          <w:rFonts w:ascii="Times New Roman" w:hAnsi="Times New Roman" w:eastAsia="Times New Roman"/>
          <w:b w:val="0"/>
          <w:i w:val="0"/>
          <w:sz w:val="20"/>
        </w:rPr>
        <w:tab/>
        <w:t>44,131.28</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(44,131.28)</w:t>
      </w:r>
    </w:p>
    <w:p>
      <w:pPr>
        <w:tabs>
          <w:tab w:pos="6803" w:val="right"/>
          <w:tab w:pos="9071" w:val="right"/>
        </w:tabs>
        <w:spacing w:before="20" w:after="20"/>
      </w:pPr>
      <w:r>
        <w:rPr>
          <w:rFonts w:ascii="Times New Roman" w:hAnsi="Times New Roman" w:eastAsia="Times New Roman"/>
          <w:b w:val="0"/>
          <w:i w:val="0"/>
          <w:sz w:val="20"/>
        </w:rPr>
      </w:r>
      <w:r>
        <w:rPr>
          <w:rFonts w:ascii="Times New Roman" w:hAnsi="Times New Roman" w:eastAsia="Times New Roman"/>
          <w:b w:val="0"/>
          <w:i w:val="0"/>
          <w:sz w:val="20"/>
        </w:rPr>
        <w:tab/>
        <w:t>274,558.08</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50,000.00</w:t>
      </w:r>
    </w:p>
    <w:p>
      <w:pPr>
        <w:tabs>
          <w:tab w:pos="6803" w:val="right"/>
          <w:tab w:pos="9071" w:val="right"/>
        </w:tabs>
        <w:spacing w:before="20" w:after="20"/>
      </w:pPr>
      <w:r>
        <w:rPr>
          <w:rFonts w:ascii="Times New Roman" w:hAnsi="Times New Roman" w:eastAsia="Times New Roman"/>
          <w:b/>
          <w:i w:val="0"/>
          <w:sz w:val="20"/>
        </w:rPr>
        <w:t>Total Non-Current Assets</w:t>
      </w:r>
      <w:r>
        <w:rPr>
          <w:rFonts w:ascii="Times New Roman" w:hAnsi="Times New Roman" w:eastAsia="Times New Roman"/>
          <w:b/>
          <w:i w:val="0"/>
          <w:sz w:val="20"/>
        </w:rPr>
        <w:tab/>
        <w:t>607,558.08</w:t>
      </w:r>
    </w:p>
    <w:p>
      <w:pPr>
        <w:spacing w:after="40"/>
      </w:pPr>
    </w:p>
    <w:p>
      <w:pPr>
        <w:tabs>
          <w:tab w:pos="6803" w:val="right"/>
          <w:tab w:pos="9071" w:val="right"/>
        </w:tabs>
        <w:spacing w:before="20" w:after="20"/>
      </w:pPr>
      <w:r>
        <w:rPr>
          <w:rFonts w:ascii="Times New Roman" w:hAnsi="Times New Roman" w:eastAsia="Times New Roman"/>
          <w:b/>
          <w:i w:val="0"/>
          <w:sz w:val="20"/>
        </w:rPr>
        <w:t>Total Assets</w:t>
      </w:r>
      <w:r>
        <w:rPr>
          <w:rFonts w:ascii="Times New Roman" w:hAnsi="Times New Roman" w:eastAsia="Times New Roman"/>
          <w:b/>
          <w:i w:val="0"/>
          <w:sz w:val="20"/>
        </w:rPr>
        <w:tab/>
        <w:t>607,558.08</w:t>
      </w:r>
    </w:p>
    <w:p>
      <w:pPr>
        <w:tabs>
          <w:tab w:pos="6803" w:val="right"/>
          <w:tab w:pos="9071" w:val="right"/>
        </w:tabs>
        <w:spacing w:before="160" w:after="80"/>
      </w:pPr>
      <w:r>
        <w:rPr>
          <w:rFonts w:ascii="Times New Roman" w:hAnsi="Times New Roman" w:eastAsia="Times New Roman"/>
          <w:b/>
          <w:i w:val="0"/>
          <w:sz w:val="24"/>
        </w:rPr>
        <w:t>Current Liabilities</w:t>
      </w:r>
    </w:p>
    <w:p>
      <w:pPr>
        <w:tabs>
          <w:tab w:pos="6803" w:val="right"/>
          <w:tab w:pos="9071" w:val="right"/>
        </w:tabs>
        <w:spacing w:before="160" w:after="80"/>
      </w:pPr>
      <w:r>
        <w:rPr>
          <w:rFonts w:ascii="Times New Roman" w:hAnsi="Times New Roman" w:eastAsia="Times New Roman"/>
          <w:b/>
          <w:i w:val="0"/>
          <w:sz w:val="20"/>
        </w:rPr>
        <w:t>Current Tax Liabilities</w:t>
      </w:r>
    </w:p>
    <w:p>
      <w:pPr>
        <w:tabs>
          <w:tab w:pos="6803" w:val="right"/>
          <w:tab w:pos="9071" w:val="right"/>
        </w:tabs>
        <w:spacing w:before="20" w:after="20"/>
        <w:ind w:left="283"/>
      </w:pPr>
      <w:r>
        <w:rPr>
          <w:rFonts w:ascii="Times New Roman" w:hAnsi="Times New Roman" w:eastAsia="Times New Roman"/>
          <w:b w:val="0"/>
          <w:i w:val="0"/>
          <w:sz w:val="20"/>
        </w:rPr>
        <w:t>GST payable control account</w:t>
      </w:r>
      <w:r>
        <w:rPr>
          <w:rFonts w:ascii="Times New Roman" w:hAnsi="Times New Roman" w:eastAsia="Times New Roman"/>
          <w:b w:val="0"/>
          <w:i w:val="0"/>
          <w:sz w:val="20"/>
        </w:rPr>
        <w:tab/>
        <w:t>1,990.00</w:t>
      </w:r>
    </w:p>
    <w:p>
      <w:pPr>
        <w:tabs>
          <w:tab w:pos="6803" w:val="right"/>
          <w:tab w:pos="9071" w:val="right"/>
        </w:tabs>
        <w:spacing w:before="20" w:after="20"/>
      </w:pPr>
      <w:r>
        <w:rPr>
          <w:rFonts w:ascii="Times New Roman" w:hAnsi="Times New Roman" w:eastAsia="Times New Roman"/>
          <w:b/>
          <w:i w:val="0"/>
          <w:sz w:val="20"/>
        </w:rPr>
        <w:t>Total Current Liabilities</w:t>
      </w:r>
      <w:r>
        <w:rPr>
          <w:rFonts w:ascii="Times New Roman" w:hAnsi="Times New Roman" w:eastAsia="Times New Roman"/>
          <w:b/>
          <w:i w:val="0"/>
          <w:sz w:val="20"/>
        </w:rPr>
        <w:tab/>
        <w:t>1,990.00</w:t>
      </w:r>
    </w:p>
    <w:p>
      <w:pPr>
        <w:tabs>
          <w:tab w:pos="6803" w:val="right"/>
          <w:tab w:pos="9071" w:val="right"/>
        </w:tabs>
        <w:spacing w:before="160" w:after="80"/>
      </w:pPr>
      <w:r>
        <w:rPr>
          <w:rFonts w:ascii="Times New Roman" w:hAnsi="Times New Roman" w:eastAsia="Times New Roman"/>
          <w:b/>
          <w:i w:val="0"/>
          <w:sz w:val="24"/>
        </w:rPr>
        <w:t>Non-Current Liabilities</w:t>
      </w:r>
    </w:p>
    <w:p>
      <w:pPr>
        <w:tabs>
          <w:tab w:pos="6803" w:val="right"/>
          <w:tab w:pos="9071" w:val="right"/>
        </w:tabs>
        <w:spacing w:before="160" w:after="80"/>
      </w:pPr>
      <w:r>
        <w:rPr>
          <w:rFonts w:ascii="Times New Roman" w:hAnsi="Times New Roman" w:eastAsia="Times New Roman"/>
          <w:b/>
          <w:i w:val="0"/>
          <w:sz w:val="20"/>
        </w:rPr>
        <w:t>Financial Liabilities</w:t>
      </w:r>
    </w:p>
    <w:p>
      <w:pPr>
        <w:spacing w:before="0" w:after="40"/>
        <w:jc w:val="left"/>
      </w:pPr>
      <w:r>
        <w:rPr>
          <w:rFonts w:ascii="Times New Roman" w:hAnsi="Times New Roman" w:eastAsia="Times New Roman"/>
          <w:b/>
          <w:i/>
          <w:sz w:val="20"/>
        </w:rPr>
        <w:t>Unsecured:</w:t>
      </w:r>
    </w:p>
    <w:p>
      <w:pPr>
        <w:tabs>
          <w:tab w:pos="6803" w:val="right"/>
          <w:tab w:pos="9071" w:val="right"/>
        </w:tabs>
        <w:spacing w:before="20" w:after="20"/>
        <w:ind w:left="283"/>
      </w:pPr>
      <w:r>
        <w:rPr>
          <w:rFonts w:ascii="Times New Roman" w:hAnsi="Times New Roman" w:eastAsia="Times New Roman"/>
          <w:b w:val="0"/>
          <w:i w:val="0"/>
          <w:sz w:val="20"/>
        </w:rPr>
        <w:t>Beneficiary Loan</w:t>
      </w:r>
      <w:r>
        <w:rPr>
          <w:rFonts w:ascii="Times New Roman" w:hAnsi="Times New Roman" w:eastAsia="Times New Roman"/>
          <w:b w:val="0"/>
          <w:i w:val="0"/>
          <w:sz w:val="20"/>
        </w:rPr>
        <w:tab/>
        <w:t>566,927.08</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i w:val="0"/>
          <w:sz w:val="20"/>
        </w:rPr>
        <w:t>Total Non-Current Liabilities</w:t>
      </w:r>
      <w:r>
        <w:rPr>
          <w:rFonts w:ascii="Times New Roman" w:hAnsi="Times New Roman" w:eastAsia="Times New Roman"/>
          <w:b/>
          <w:i w:val="0"/>
          <w:sz w:val="20"/>
        </w:rPr>
        <w:tab/>
        <w:t>566,927.08</w:t>
      </w:r>
    </w:p>
    <w:p>
      <w:pPr>
        <w:spacing w:after="40"/>
      </w:pPr>
    </w:p>
    <w:p>
      <w:pPr>
        <w:tabs>
          <w:tab w:pos="6803" w:val="right"/>
          <w:tab w:pos="9071" w:val="right"/>
        </w:tabs>
        <w:spacing w:before="20" w:after="20"/>
      </w:pPr>
      <w:r>
        <w:rPr>
          <w:rFonts w:ascii="Times New Roman" w:hAnsi="Times New Roman" w:eastAsia="Times New Roman"/>
          <w:b/>
          <w:i w:val="0"/>
          <w:sz w:val="20"/>
        </w:rPr>
        <w:t>Total Liabilities</w:t>
      </w:r>
      <w:r>
        <w:rPr>
          <w:rFonts w:ascii="Times New Roman" w:hAnsi="Times New Roman" w:eastAsia="Times New Roman"/>
          <w:b/>
          <w:i w:val="0"/>
          <w:sz w:val="20"/>
        </w:rPr>
        <w:tab/>
        <w:t>568,917.08</w:t>
      </w:r>
    </w:p>
    <w:p>
      <w:pPr>
        <w:spacing w:after="40"/>
      </w:pPr>
    </w:p>
    <w:p>
      <w:pPr>
        <w:tabs>
          <w:tab w:pos="6803" w:val="right"/>
          <w:tab w:pos="9071" w:val="right"/>
        </w:tabs>
        <w:spacing w:before="20" w:after="20"/>
      </w:pPr>
      <w:r>
        <w:rPr>
          <w:rFonts w:ascii="Times New Roman" w:hAnsi="Times New Roman" w:eastAsia="Times New Roman"/>
          <w:b/>
          <w:i w:val="0"/>
          <w:sz w:val="20"/>
        </w:rPr>
        <w:t>Net Assets (Liabilities)</w:t>
      </w:r>
      <w:r>
        <w:rPr>
          <w:rFonts w:ascii="Times New Roman" w:hAnsi="Times New Roman" w:eastAsia="Times New Roman"/>
          <w:b/>
          <w:i w:val="0"/>
          <w:sz w:val="20"/>
        </w:rPr>
        <w:tab/>
        <w:t>38,641.00</w:t>
      </w:r>
    </w:p>
    <w:p>
      <w:pPr>
        <w:tabs>
          <w:tab w:pos="6803" w:val="right"/>
          <w:tab w:pos="9071" w:val="right"/>
        </w:tabs>
        <w:spacing w:before="160" w:after="80"/>
      </w:pPr>
      <w:r>
        <w:rPr>
          <w:rFonts w:ascii="Times New Roman" w:hAnsi="Times New Roman" w:eastAsia="Times New Roman"/>
          <w:b/>
          <w:i w:val="0"/>
          <w:sz w:val="24"/>
        </w:rPr>
        <w:t>Equity</w:t>
      </w:r>
    </w:p>
    <w:p>
      <w:pPr>
        <w:tabs>
          <w:tab w:pos="6803" w:val="right"/>
          <w:tab w:pos="9071" w:val="right"/>
        </w:tabs>
        <w:spacing w:before="20" w:after="20"/>
      </w:pPr>
      <w:r>
        <w:rPr>
          <w:rFonts w:ascii="Times New Roman" w:hAnsi="Times New Roman" w:eastAsia="Times New Roman"/>
          <w:b w:val="0"/>
          <w:i w:val="0"/>
          <w:sz w:val="20"/>
        </w:rPr>
        <w:t>Distribution for year - Claudio</w:t>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val="0"/>
          <w:i w:val="0"/>
          <w:sz w:val="20"/>
        </w:rPr>
        <w:t>Distribution for year - Sarah</w:t>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i w:val="0"/>
          <w:sz w:val="20"/>
        </w:rPr>
        <w:t>Total Equity</w:t>
      </w:r>
      <w:r>
        <w:rPr>
          <w:rFonts w:ascii="Times New Roman" w:hAnsi="Times New Roman" w:eastAsia="Times New Roman"/>
          <w:b/>
          <w:i w:val="0"/>
          <w:sz w:val="20"/>
        </w:rPr>
        <w:tab/>
        <w:t>-</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240"/>
        <w:jc w:val="left"/>
      </w:pPr>
      <w:r>
        <w:rPr>
          <w:rFonts w:ascii="Times New Roman" w:hAnsi="Times New Roman" w:eastAsia="Times New Roman"/>
          <w:b/>
          <w:i w:val="0"/>
          <w:sz w:val="28"/>
        </w:rPr>
        <w:t>Note 1:  Summary of Significant Accounting Policies</w:t>
      </w:r>
    </w:p>
    <w:p>
      <w:pPr>
        <w:spacing w:before="0" w:after="120"/>
        <w:jc w:val="left"/>
      </w:pPr>
      <w:r>
        <w:rPr>
          <w:rFonts w:ascii="Times New Roman" w:hAnsi="Times New Roman" w:eastAsia="Times New Roman"/>
          <w:b/>
          <w:i w:val="0"/>
          <w:sz w:val="20"/>
        </w:rPr>
        <w:t>Basis of Preparation</w:t>
      </w:r>
    </w:p>
    <w:p>
      <w:pPr>
        <w:spacing w:before="0" w:after="120"/>
        <w:jc w:val="both"/>
      </w:pPr>
      <w:r>
        <w:rPr>
          <w:rFonts w:ascii="Times New Roman" w:hAnsi="Times New Roman" w:eastAsia="Times New Roman"/>
          <w:b w:val="0"/>
          <w:i w:val="0"/>
          <w:sz w:val="20"/>
        </w:rPr>
        <w:t>The trustee has prepared the financial statements of the trust on the basis that the trust is a non-reporting entity because there are no users dependent on general purpose financial statements. The financial statements are therefore special purpose financial statements that have been prepared in order to meet the needs of the trust deed and the directors of the trustee company.</w:t>
      </w:r>
    </w:p>
    <w:p>
      <w:pPr>
        <w:spacing w:before="0" w:after="120"/>
        <w:jc w:val="both"/>
      </w:pPr>
      <w:r>
        <w:rPr>
          <w:rFonts w:ascii="Times New Roman" w:hAnsi="Times New Roman" w:eastAsia="Times New Roman"/>
          <w:b w:val="0"/>
          <w:i w:val="0"/>
          <w:sz w:val="20"/>
        </w:rPr>
        <w:t>The financial statements have been prepared in accordance with the significant accounting policies disclosed below, which the trustee has determined are appropriate to meet the needs of the trust deed, the beneficiaries and the directors of the trustee company. Such accounting policies are consistent with the previous period unless stated otherwise.</w:t>
      </w:r>
    </w:p>
    <w:p>
      <w:pPr>
        <w:spacing w:before="0" w:after="200"/>
        <w:jc w:val="both"/>
      </w:pPr>
      <w:r>
        <w:rPr>
          <w:rFonts w:ascii="Times New Roman" w:hAnsi="Times New Roman" w:eastAsia="Times New Roman"/>
          <w:b w:val="0"/>
          <w:i w:val="0"/>
          <w:sz w:val="20"/>
        </w:rPr>
        <w:t>The financial statements have been prepared on an accrual basis and are based on historical costs unless otherwise stated in the notes. The accounting policies that have been adopted in the preparation of the statements are as follows:</w:t>
      </w:r>
    </w:p>
    <w:p>
      <w:pPr>
        <w:spacing w:before="0" w:after="120"/>
        <w:jc w:val="left"/>
      </w:pPr>
      <w:r>
        <w:rPr>
          <w:rFonts w:ascii="Times New Roman" w:hAnsi="Times New Roman" w:eastAsia="Times New Roman"/>
          <w:b/>
          <w:i w:val="0"/>
          <w:sz w:val="20"/>
        </w:rPr>
        <w:t>(a)   Property, Plant and Equipment (PPE)</w:t>
      </w:r>
    </w:p>
    <w:p>
      <w:pPr>
        <w:spacing w:before="0" w:after="120"/>
        <w:ind w:firstLine="850"/>
        <w:jc w:val="both"/>
      </w:pPr>
      <w:r>
        <w:rPr>
          <w:rFonts w:ascii="Times New Roman" w:hAnsi="Times New Roman" w:eastAsia="Times New Roman"/>
          <w:b w:val="0"/>
          <w:i w:val="0"/>
          <w:sz w:val="20"/>
        </w:rPr>
        <w:t>All property, plant and equipment except for freehold land and buildings are initially measured at cost and are depreciated over their useful lives on a straight-line basis. Depreciation commences from the time the asset is available for its intended use. Leasehold improvements are depreciated over the shorter of either the unexpired period of the lease or the estimated useful lives of the improvements.</w:t>
      </w:r>
    </w:p>
    <w:p>
      <w:pPr>
        <w:spacing w:before="0" w:after="120"/>
        <w:ind w:firstLine="850"/>
        <w:jc w:val="both"/>
      </w:pPr>
      <w:r>
        <w:rPr>
          <w:rFonts w:ascii="Times New Roman" w:hAnsi="Times New Roman" w:eastAsia="Times New Roman"/>
          <w:b w:val="0"/>
          <w:i w:val="0"/>
          <w:sz w:val="20"/>
        </w:rPr>
        <w:t>The carrying amount of plant and equipment is reviewed annually by the trustee to ensure it is not in excess of the recoverable amount from these assets. The recoverable amount is assessed on the basis of the expected net cash flows that will be received from the asset's employment and subsequent disposal. The expected net cash flows have not been discounted in determining recoverable amounts.</w:t>
      </w:r>
    </w:p>
    <w:p>
      <w:pPr>
        <w:spacing w:before="0" w:after="200"/>
        <w:ind w:firstLine="850"/>
        <w:jc w:val="both"/>
      </w:pPr>
      <w:r>
        <w:rPr>
          <w:rFonts w:ascii="Times New Roman" w:hAnsi="Times New Roman" w:eastAsia="Times New Roman"/>
          <w:b w:val="0"/>
          <w:i w:val="0"/>
          <w:sz w:val="20"/>
        </w:rPr>
        <w:t>Subsequent costs are included in the asset's carrying amount or recognised as a separate asset, as appropriate, only when it is probable that future economic benefits associated with the item will flow to the trust and the cost of the item can be measured reliably. All other repairs and maintenance are recognised as expenses in profit or loss during the financial period in which they are incurred.</w:t>
      </w:r>
    </w:p>
    <w:p>
      <w:pPr>
        <w:spacing w:before="0" w:after="120"/>
        <w:jc w:val="left"/>
      </w:pPr>
      <w:r>
        <w:rPr>
          <w:rFonts w:ascii="Times New Roman" w:hAnsi="Times New Roman" w:eastAsia="Times New Roman"/>
          <w:b/>
          <w:i w:val="0"/>
          <w:sz w:val="20"/>
        </w:rPr>
        <w:t>(b)   Impairment of Assets</w:t>
      </w:r>
    </w:p>
    <w:p>
      <w:pPr>
        <w:spacing w:before="0" w:after="200"/>
        <w:ind w:firstLine="850"/>
        <w:jc w:val="both"/>
      </w:pPr>
      <w:r>
        <w:rPr>
          <w:rFonts w:ascii="Times New Roman" w:hAnsi="Times New Roman" w:eastAsia="Times New Roman"/>
          <w:b w:val="0"/>
          <w:i w:val="0"/>
          <w:sz w:val="20"/>
        </w:rPr>
        <w:t>At the end of each reporting period, property, plant and equipment, intangible assets and investments are reviewed to determine whether there is any indication that those assets have suffered an impairment loss. If there is an indication of possible impairment, the recoverable amount of any affected asset (or group of related assets) is estimated and compared with its carrying amount. The recoverable amount is the higher of the asset's fair value less costs of disposal and the present value of the asset's future cash flows discounted at the expected rate of return. If the estimated recoverable amount is lower, the carrying amount is reduced to the estimated recoverable amount and an impairment loss is recognised immediately in profit or loss.</w:t>
      </w:r>
    </w:p>
    <w:p>
      <w:pPr>
        <w:spacing w:before="0" w:after="120"/>
        <w:jc w:val="left"/>
      </w:pPr>
      <w:r>
        <w:rPr>
          <w:rFonts w:ascii="Times New Roman" w:hAnsi="Times New Roman" w:eastAsia="Times New Roman"/>
          <w:b/>
          <w:i w:val="0"/>
          <w:sz w:val="20"/>
        </w:rPr>
        <w:t>(c)   Trade and Other Payables</w:t>
      </w:r>
    </w:p>
    <w:p>
      <w:pPr>
        <w:spacing w:before="0" w:after="200"/>
        <w:ind w:firstLine="850"/>
        <w:jc w:val="both"/>
      </w:pPr>
      <w:r>
        <w:rPr>
          <w:rFonts w:ascii="Times New Roman" w:hAnsi="Times New Roman" w:eastAsia="Times New Roman"/>
          <w:b w:val="0"/>
          <w:i w:val="0"/>
          <w:sz w:val="20"/>
        </w:rPr>
        <w:t>Trade and other payables represent the liabilities for goods and services received by the entity that remain unpaid at the end of the reporting period. The balance is recognised as a current liability with the amounts normally paid within 30 days of recognition of the liability.</w:t>
      </w:r>
    </w:p>
    <w:p>
      <w:pPr>
        <w:spacing w:before="0" w:after="120"/>
        <w:jc w:val="left"/>
      </w:pPr>
      <w:r>
        <w:rPr>
          <w:rFonts w:ascii="Times New Roman" w:hAnsi="Times New Roman" w:eastAsia="Times New Roman"/>
          <w:b/>
          <w:i w:val="0"/>
          <w:sz w:val="20"/>
        </w:rPr>
        <w:t>(d)   Revenue and Other Income</w:t>
      </w:r>
    </w:p>
    <w:p>
      <w:pPr>
        <w:spacing w:before="0" w:after="120"/>
        <w:ind w:firstLine="850"/>
        <w:jc w:val="both"/>
      </w:pPr>
      <w:r>
        <w:rPr>
          <w:rFonts w:ascii="Times New Roman" w:hAnsi="Times New Roman" w:eastAsia="Times New Roman"/>
          <w:b w:val="0"/>
          <w:i w:val="0"/>
          <w:sz w:val="20"/>
        </w:rPr>
        <w:t>Revenue is measured at the value of the consideration received or receivable after taking into account any trade discounts and volume rebates allowed. For this purpose, deferred consideration is not discounted to present values when recognising revenue.</w:t>
      </w:r>
    </w:p>
    <w:p>
      <w:pPr>
        <w:spacing w:before="0" w:after="120"/>
        <w:ind w:firstLine="850"/>
        <w:jc w:val="both"/>
      </w:pPr>
      <w:r>
        <w:rPr>
          <w:rFonts w:ascii="Times New Roman" w:hAnsi="Times New Roman" w:eastAsia="Times New Roman"/>
          <w:b w:val="0"/>
          <w:i w:val="0"/>
          <w:sz w:val="20"/>
        </w:rPr>
        <w:t>Interest revenue is recognised using the effective interest rate method, which, for floating rate financial assets, is the rate inherent in the instrument. Dividend revenue is recognised when the right to receive a dividend has been established.</w:t>
      </w:r>
    </w:p>
    <w:p>
      <w:pPr>
        <w:spacing w:before="0" w:after="120"/>
        <w:ind w:firstLine="850"/>
        <w:jc w:val="both"/>
      </w:pPr>
      <w:r>
        <w:rPr>
          <w:rFonts w:ascii="Times New Roman" w:hAnsi="Times New Roman" w:eastAsia="Times New Roman"/>
          <w:b w:val="0"/>
          <w:i w:val="0"/>
          <w:sz w:val="20"/>
        </w:rPr>
        <w:t>Revenue recognised related to the provision of services is determined with reference to the stage of completion of the transaction at the end of the reporting period and where outcome of the contract can be estimated reliably. Stage of completion is determined with reference to the services performed to date as a percentage of total anticipated services to be performed. Where the outcome cannot be estimated reliably, revenue is recognised only to the extent that related expenditure is recoverable.</w:t>
      </w:r>
    </w:p>
    <w:p>
      <w:pPr>
        <w:spacing w:before="0" w:after="200"/>
        <w:ind w:firstLine="850"/>
        <w:jc w:val="both"/>
      </w:pPr>
      <w:r>
        <w:rPr>
          <w:rFonts w:ascii="Times New Roman" w:hAnsi="Times New Roman" w:eastAsia="Times New Roman"/>
          <w:b w:val="0"/>
          <w:i w:val="0"/>
          <w:sz w:val="20"/>
        </w:rPr>
        <w:t>All revenue is stated net of the amount of goods and services tax (GST).</w:t>
      </w:r>
    </w:p>
    <w:p>
      <w:pPr>
        <w:spacing w:before="0" w:after="120"/>
        <w:jc w:val="left"/>
      </w:pPr>
      <w:r>
        <w:rPr>
          <w:rFonts w:ascii="Times New Roman" w:hAnsi="Times New Roman" w:eastAsia="Times New Roman"/>
          <w:b/>
          <w:i w:val="0"/>
          <w:sz w:val="20"/>
        </w:rPr>
        <w:t>(e)   Leases</w:t>
      </w:r>
    </w:p>
    <w:p>
      <w:pPr>
        <w:spacing w:before="0" w:after="80"/>
        <w:ind w:firstLine="850"/>
        <w:jc w:val="left"/>
      </w:pPr>
      <w:r>
        <w:rPr>
          <w:rFonts w:ascii="Times New Roman" w:hAnsi="Times New Roman" w:eastAsia="Times New Roman"/>
          <w:b/>
          <w:i w:val="0"/>
          <w:sz w:val="20"/>
        </w:rPr>
        <w:t>The trust as lessee</w:t>
      </w:r>
    </w:p>
    <w:p>
      <w:pPr>
        <w:spacing w:before="0" w:after="120"/>
        <w:ind w:firstLine="850"/>
        <w:jc w:val="both"/>
      </w:pPr>
      <w:r>
        <w:rPr>
          <w:rFonts w:ascii="Times New Roman" w:hAnsi="Times New Roman" w:eastAsia="Times New Roman"/>
          <w:b w:val="0"/>
          <w:i w:val="0"/>
          <w:sz w:val="20"/>
        </w:rPr>
        <w:t>At inception of a contract, the trust assesses if the contract contains or is a lease under AASB 16 Leases. Where a lease exists, a right-of-use asset and a corresponding lease liability are recognised by the trust where the trust is a lessee. However, all contracts that are classified as short-term leases (i.e. lease with remaining lease term of 12 months or less) and leases of low value assets will be recognised as an operating expense on a straight-line basis over the term of the lease.</w:t>
      </w:r>
    </w:p>
    <w:p>
      <w:pPr>
        <w:spacing w:before="0" w:after="200"/>
        <w:ind w:firstLine="850"/>
        <w:jc w:val="both"/>
      </w:pPr>
      <w:r>
        <w:rPr>
          <w:rFonts w:ascii="Times New Roman" w:hAnsi="Times New Roman" w:eastAsia="Times New Roman"/>
          <w:b w:val="0"/>
          <w:i w:val="0"/>
          <w:sz w:val="20"/>
        </w:rPr>
        <w:t>The trust does not act as a lessor in relation to lease contracts.</w:t>
      </w:r>
    </w:p>
    <w:p>
      <w:pPr>
        <w:spacing w:before="0" w:after="120"/>
        <w:jc w:val="left"/>
      </w:pPr>
      <w:r>
        <w:rPr>
          <w:rFonts w:ascii="Times New Roman" w:hAnsi="Times New Roman" w:eastAsia="Times New Roman"/>
          <w:b/>
          <w:i w:val="0"/>
          <w:sz w:val="20"/>
        </w:rPr>
        <w:t>(f)   Goods and Services Tax (GST)</w:t>
      </w:r>
    </w:p>
    <w:p>
      <w:pPr>
        <w:spacing w:before="0" w:after="120"/>
        <w:ind w:firstLine="850"/>
        <w:jc w:val="both"/>
      </w:pPr>
      <w:r>
        <w:rPr>
          <w:rFonts w:ascii="Times New Roman" w:hAnsi="Times New Roman" w:eastAsia="Times New Roman"/>
          <w:b w:val="0"/>
          <w:i w:val="0"/>
          <w:sz w:val="20"/>
        </w:rPr>
        <w:t>Revenues, expenses and assets are recognised net of the amount of GST, except where the amount of GST incurred is not recoverable from the Australian Taxation Office (ATO). In these circumstances, the GST is recognised as part of the cost of acquisition of the asset or as part of an item of the expense. Receivables and payables in the balance sheet are shown inclusive of GST.</w:t>
      </w:r>
    </w:p>
    <w:p>
      <w:pPr>
        <w:spacing w:before="0" w:after="200"/>
        <w:ind w:firstLine="850"/>
        <w:jc w:val="both"/>
      </w:pPr>
      <w:r>
        <w:rPr>
          <w:rFonts w:ascii="Times New Roman" w:hAnsi="Times New Roman" w:eastAsia="Times New Roman"/>
          <w:b w:val="0"/>
          <w:i w:val="0"/>
          <w:sz w:val="20"/>
        </w:rPr>
        <w:t>Cash flows are presented in the cash flow statement on a gross basis, except for the GST components of investing and financing activities, which are disclosed as operating cash flows.</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spacing w:before="40" w:after="40"/>
        <w:pBdr>
          <w:bottom w:val="single" w:sz="12" w:space="1" w:color="000000"/>
        </w:pBdr>
      </w:pPr>
    </w:p>
    <w:p>
      <w:pPr>
        <w:spacing w:after="120"/>
      </w:pPr>
    </w:p>
    <w:p>
      <w:pPr>
        <w:spacing w:before="0" w:after="160"/>
        <w:jc w:val="left"/>
      </w:pPr>
      <w:r>
        <w:rPr>
          <w:rFonts w:ascii="Times New Roman" w:hAnsi="Times New Roman" w:eastAsia="Times New Roman"/>
          <w:b/>
          <w:i w:val="0"/>
          <w:sz w:val="28"/>
        </w:rPr>
        <w:t>Note 2:  Revenue</w:t>
      </w:r>
    </w:p>
    <w:p>
      <w:pPr>
        <w:spacing w:before="0" w:after="80"/>
        <w:jc w:val="left"/>
      </w:pPr>
      <w:r>
        <w:rPr>
          <w:rFonts w:ascii="Times New Roman" w:hAnsi="Times New Roman" w:eastAsia="Times New Roman"/>
          <w:b/>
          <w:i w:val="0"/>
          <w:sz w:val="20"/>
        </w:rPr>
        <w:t>Operating Activities:</w:t>
      </w:r>
    </w:p>
    <w:p>
      <w:pPr>
        <w:spacing w:before="0" w:after="40"/>
        <w:jc w:val="left"/>
      </w:pPr>
      <w:r>
        <w:rPr>
          <w:rFonts w:ascii="Times New Roman" w:hAnsi="Times New Roman" w:eastAsia="Times New Roman"/>
          <w:b w:val="0"/>
          <w:i w:val="0"/>
          <w:sz w:val="20"/>
        </w:rPr>
        <w:t>Other operating revenue:</w:t>
      </w:r>
    </w:p>
    <w:p>
      <w:pPr>
        <w:spacing w:after="80"/>
      </w:pPr>
    </w:p>
    <w:p>
      <w:pPr>
        <w:spacing w:before="0" w:after="40"/>
        <w:jc w:val="left"/>
      </w:pPr>
      <w:r>
        <w:rPr>
          <w:rFonts w:ascii="Times New Roman" w:hAnsi="Times New Roman" w:eastAsia="Times New Roman"/>
          <w:b w:val="0"/>
          <w:i w:val="0"/>
          <w:sz w:val="20"/>
        </w:rPr>
        <w:t>Other revenue:</w:t>
      </w:r>
    </w:p>
    <w:p>
      <w:pPr>
        <w:tabs>
          <w:tab w:pos="6803" w:val="right"/>
          <w:tab w:pos="9071" w:val="right"/>
        </w:tabs>
        <w:spacing w:before="20" w:after="20"/>
        <w:ind w:left="283"/>
      </w:pPr>
      <w:r>
        <w:rPr>
          <w:rFonts w:ascii="Times New Roman" w:hAnsi="Times New Roman" w:eastAsia="Times New Roman"/>
          <w:b w:val="0"/>
          <w:i w:val="0"/>
          <w:sz w:val="20"/>
        </w:rPr>
        <w:t>Rent received</w:t>
      </w:r>
      <w:r>
        <w:rPr>
          <w:rFonts w:ascii="Times New Roman" w:hAnsi="Times New Roman" w:eastAsia="Times New Roman"/>
          <w:b w:val="0"/>
          <w:i w:val="0"/>
          <w:sz w:val="20"/>
        </w:rPr>
        <w:tab/>
        <w:t>65,000.00</w:t>
      </w:r>
    </w:p>
    <w:p>
      <w:pPr>
        <w:spacing w:after="40"/>
      </w:pPr>
    </w:p>
    <w:p>
      <w:pPr>
        <w:tabs>
          <w:tab w:pos="6803" w:val="right"/>
          <w:tab w:pos="9071" w:val="right"/>
        </w:tabs>
        <w:spacing w:before="20" w:after="20"/>
      </w:pPr>
      <w:r>
        <w:rPr>
          <w:rFonts w:ascii="Times New Roman" w:hAnsi="Times New Roman" w:eastAsia="Times New Roman"/>
          <w:b/>
          <w:i w:val="0"/>
          <w:sz w:val="20"/>
        </w:rPr>
      </w:r>
      <w:r>
        <w:rPr>
          <w:rFonts w:ascii="Times New Roman" w:hAnsi="Times New Roman" w:eastAsia="Times New Roman"/>
          <w:b/>
          <w:i w:val="0"/>
          <w:sz w:val="20"/>
        </w:rPr>
        <w:tab/>
        <w:t>65,000.00</w:t>
      </w:r>
    </w:p>
    <w:p>
      <w:pPr>
        <w:spacing w:after="160"/>
      </w:pPr>
    </w:p>
    <w:p>
      <w:pPr>
        <w:spacing w:before="0" w:after="120"/>
        <w:jc w:val="left"/>
      </w:pPr>
      <w:r>
        <w:rPr>
          <w:rFonts w:ascii="Times New Roman" w:hAnsi="Times New Roman" w:eastAsia="Times New Roman"/>
          <w:b/>
          <w:i w:val="0"/>
          <w:sz w:val="28"/>
        </w:rPr>
        <w:t>Note 3:  Profit from Ordinary Activities</w:t>
      </w:r>
    </w:p>
    <w:p>
      <w:pPr>
        <w:spacing w:before="0" w:after="160"/>
        <w:jc w:val="left"/>
      </w:pPr>
      <w:r>
        <w:rPr>
          <w:rFonts w:ascii="Times New Roman" w:hAnsi="Times New Roman" w:eastAsia="Times New Roman"/>
          <w:b w:val="0"/>
          <w:i w:val="0"/>
          <w:sz w:val="20"/>
        </w:rPr>
        <w:t>Profit (loss) from ordinary activities before income tax has been determined after:</w:t>
      </w:r>
    </w:p>
    <w:p>
      <w:pPr>
        <w:spacing w:before="0" w:after="80"/>
        <w:jc w:val="left"/>
      </w:pPr>
      <w:r>
        <w:rPr>
          <w:rFonts w:ascii="Times New Roman" w:hAnsi="Times New Roman" w:eastAsia="Times New Roman"/>
          <w:b/>
          <w:i w:val="0"/>
          <w:sz w:val="20"/>
        </w:rPr>
        <w:t>Charging as Expense:</w:t>
      </w:r>
    </w:p>
    <w:p>
      <w:pPr>
        <w:spacing w:before="0" w:after="40"/>
        <w:jc w:val="left"/>
      </w:pPr>
      <w:r>
        <w:rPr>
          <w:rFonts w:ascii="Times New Roman" w:hAnsi="Times New Roman" w:eastAsia="Times New Roman"/>
          <w:b w:val="0"/>
          <w:i w:val="0"/>
          <w:sz w:val="20"/>
        </w:rPr>
        <w:t>Borrowing costs:</w:t>
      </w:r>
    </w:p>
    <w:p>
      <w:pPr>
        <w:tabs>
          <w:tab w:pos="6803" w:val="right"/>
          <w:tab w:pos="9071" w:val="right"/>
        </w:tabs>
        <w:spacing w:before="20" w:after="20"/>
        <w:ind w:left="283"/>
      </w:pPr>
      <w:r>
        <w:rPr>
          <w:rFonts w:ascii="Times New Roman" w:hAnsi="Times New Roman" w:eastAsia="Times New Roman"/>
          <w:b w:val="0"/>
          <w:i w:val="0"/>
          <w:sz w:val="20"/>
        </w:rPr>
        <w:t xml:space="preserve"> - Interest expense</w:t>
      </w:r>
      <w:r>
        <w:rPr>
          <w:rFonts w:ascii="Times New Roman" w:hAnsi="Times New Roman" w:eastAsia="Times New Roman"/>
          <w:b w:val="0"/>
          <w:i w:val="0"/>
          <w:sz w:val="20"/>
        </w:rPr>
        <w:tab/>
        <w:t>-</w:t>
      </w:r>
    </w:p>
    <w:p>
      <w:pPr>
        <w:spacing w:before="0" w:after="40"/>
        <w:jc w:val="left"/>
      </w:pPr>
      <w:r>
        <w:rPr>
          <w:rFonts w:ascii="Times New Roman" w:hAnsi="Times New Roman" w:eastAsia="Times New Roman"/>
          <w:b w:val="0"/>
          <w:i w:val="0"/>
          <w:sz w:val="20"/>
        </w:rPr>
        <w:t>Depreciation of non-current assets:</w:t>
      </w:r>
    </w:p>
    <w:p>
      <w:pPr>
        <w:tabs>
          <w:tab w:pos="6803" w:val="right"/>
          <w:tab w:pos="9071" w:val="right"/>
        </w:tabs>
        <w:spacing w:before="20" w:after="20"/>
        <w:ind w:left="283"/>
      </w:pPr>
      <w:r>
        <w:rPr>
          <w:rFonts w:ascii="Times New Roman" w:hAnsi="Times New Roman" w:eastAsia="Times New Roman"/>
          <w:b w:val="0"/>
          <w:i w:val="0"/>
          <w:sz w:val="20"/>
        </w:rPr>
        <w:t xml:space="preserve"> - Buildings</w:t>
      </w:r>
      <w:r>
        <w:rPr>
          <w:rFonts w:ascii="Times New Roman" w:hAnsi="Times New Roman" w:eastAsia="Times New Roman"/>
          <w:b w:val="0"/>
          <w:i w:val="0"/>
          <w:sz w:val="20"/>
        </w:rPr>
        <w:tab/>
        <w:t>14,811.00</w:t>
      </w:r>
    </w:p>
    <w:p>
      <w:pPr>
        <w:tabs>
          <w:tab w:pos="6803" w:val="right"/>
          <w:tab w:pos="9071" w:val="right"/>
        </w:tabs>
        <w:spacing w:before="20" w:after="20"/>
        <w:ind w:left="283"/>
      </w:pPr>
      <w:r>
        <w:rPr>
          <w:rFonts w:ascii="Times New Roman" w:hAnsi="Times New Roman" w:eastAsia="Times New Roman"/>
          <w:b w:val="0"/>
          <w:i w:val="0"/>
          <w:sz w:val="20"/>
        </w:rPr>
        <w:t xml:space="preserve"> - Other</w:t>
      </w:r>
      <w:r>
        <w:rPr>
          <w:rFonts w:ascii="Times New Roman" w:hAnsi="Times New Roman" w:eastAsia="Times New Roman"/>
          <w:b w:val="0"/>
          <w:i w:val="0"/>
          <w:sz w:val="20"/>
        </w:rPr>
        <w:tab/>
        <w:t>15,722.00</w:t>
      </w:r>
    </w:p>
    <w:p>
      <w:pPr>
        <w:tabs>
          <w:tab w:pos="6803" w:val="right"/>
          <w:tab w:pos="9071" w:val="right"/>
        </w:tabs>
        <w:spacing w:before="20" w:after="20"/>
      </w:pPr>
      <w:r>
        <w:rPr>
          <w:rFonts w:ascii="Times New Roman" w:hAnsi="Times New Roman" w:eastAsia="Times New Roman"/>
          <w:b w:val="0"/>
          <w:i w:val="0"/>
          <w:sz w:val="20"/>
        </w:rPr>
        <w:t>Total depreciation expenses</w:t>
      </w:r>
      <w:r>
        <w:rPr>
          <w:rFonts w:ascii="Times New Roman" w:hAnsi="Times New Roman" w:eastAsia="Times New Roman"/>
          <w:b w:val="0"/>
          <w:i w:val="0"/>
          <w:sz w:val="20"/>
        </w:rPr>
        <w:tab/>
        <w:t>15,722.00</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ectPr>
          <w:pgSz w:w="12240" w:h="15840"/>
          <w:pgMar w:top="1440" w:right="1440" w:bottom="1440" w:left="1440" w:header="720" w:footer="720" w:gutter="0"/>
          <w:cols w:space="720"/>
          <w:docGrid w:linePitch="360"/>
        </w:sectPr>
      </w:pP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Buildings</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Investment Property - Building Component</w:t>
            </w:r>
          </w:p>
        </w:tc>
        <w:tc>
          <w:tcPr>
            <w:tcW w:type="dxa" w:w="1081"/>
          </w:tcPr>
          <w:p>
            <w:pPr>
              <w:jc w:val="right"/>
            </w:pPr>
            <w:r>
              <w:rPr>
                <w:rFonts w:ascii="Times New Roman" w:hAnsi="Times New Roman"/>
                <w:sz w:val="14"/>
              </w:rPr>
              <w:t>370,275.00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296,220.00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p</w:t>
            </w:r>
          </w:p>
        </w:tc>
        <w:tc>
          <w:tcPr>
            <w:tcW w:type="dxa" w:w="1081"/>
          </w:tcPr>
          <w:p>
            <w:pPr>
              <w:jc w:val="right"/>
            </w:pPr>
            <w:r>
              <w:rPr>
                <w:rFonts w:ascii="Times New Roman" w:hAnsi="Times New Roman"/>
                <w:sz w:val="14"/>
              </w:rPr>
              <w:t>2.50</w:t>
            </w:r>
          </w:p>
        </w:tc>
        <w:tc>
          <w:tcPr>
            <w:tcW w:type="dxa" w:w="1081"/>
          </w:tcPr>
          <w:p>
            <w:pPr>
              <w:jc w:val="right"/>
            </w:pPr>
            <w:r>
              <w:rPr>
                <w:rFonts w:ascii="Times New Roman" w:hAnsi="Times New Roman"/>
                <w:sz w:val="14"/>
              </w:rPr>
              <w:t>14,811.00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281,409.00</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370,275.00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296,220.00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14,811.00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281,409.00</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14,811.00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Office Equipment</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Office Equipment</w:t>
            </w:r>
          </w:p>
        </w:tc>
        <w:tc>
          <w:tcPr>
            <w:tcW w:type="dxa" w:w="1081"/>
          </w:tcPr>
          <w:p>
            <w:pPr>
              <w:jc w:val="right"/>
            </w:pPr>
            <w:r>
              <w:rPr>
                <w:rFonts w:ascii="Times New Roman" w:hAnsi="Times New Roman"/>
                <w:sz w:val="14"/>
              </w:rPr>
              <w:t>5,000.00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2,277.00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40.00</w:t>
            </w:r>
          </w:p>
        </w:tc>
        <w:tc>
          <w:tcPr>
            <w:tcW w:type="dxa" w:w="1081"/>
          </w:tcPr>
          <w:p>
            <w:pPr>
              <w:jc w:val="right"/>
            </w:pPr>
            <w:r>
              <w:rPr>
                <w:rFonts w:ascii="Times New Roman" w:hAnsi="Times New Roman"/>
                <w:sz w:val="14"/>
              </w:rPr>
              <w:t>911.00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1,366.00</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5,000.00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2,277.00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911.00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1,366.00</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911.00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Trustee's Declaration</w:t>
      </w:r>
    </w:p>
    <w:p>
      <w:pPr>
        <w:spacing w:before="40" w:after="40"/>
        <w:pBdr>
          <w:bottom w:val="single" w:sz="12" w:space="1" w:color="000000"/>
        </w:pBdr>
      </w:pPr>
    </w:p>
    <w:p>
      <w:pPr>
        <w:spacing w:before="0" w:after="160"/>
        <w:jc w:val="both"/>
      </w:pPr>
      <w:r>
        <w:rPr>
          <w:rFonts w:ascii="Times New Roman" w:hAnsi="Times New Roman" w:eastAsia="Times New Roman"/>
          <w:b w:val="0"/>
          <w:i w:val="0"/>
          <w:sz w:val="20"/>
        </w:rPr>
        <w:t>The trustee declares that the trust is not a reporting entity and that this special purpose financial report should be prepared in accordance with the accounting policies prescribed in Note 1 to the financial statements.</w:t>
      </w:r>
    </w:p>
    <w:p>
      <w:pPr>
        <w:spacing w:before="0" w:after="120"/>
        <w:jc w:val="left"/>
      </w:pPr>
      <w:r>
        <w:rPr>
          <w:rFonts w:ascii="Times New Roman" w:hAnsi="Times New Roman" w:eastAsia="Times New Roman"/>
          <w:b w:val="0"/>
          <w:i w:val="0"/>
          <w:sz w:val="20"/>
        </w:rPr>
        <w:t>The directors of the trustee company declare that:</w:t>
      </w:r>
    </w:p>
    <w:p>
      <w:pPr>
        <w:spacing w:before="0" w:after="120"/>
        <w:jc w:val="both"/>
      </w:pPr>
      <w:r>
        <w:rPr>
          <w:rFonts w:ascii="Times New Roman" w:hAnsi="Times New Roman" w:eastAsia="Times New Roman"/>
          <w:b w:val="0"/>
          <w:i w:val="0"/>
          <w:sz w:val="20"/>
        </w:rPr>
        <w:t>(i)  the financial statements and notes present fairly the trust's financial position as at 30 June 2025 and its performance for the year ended on that date in accordance with the accounting policies described in Note 1 to the financial statements;</w:t>
      </w:r>
    </w:p>
    <w:p>
      <w:pPr>
        <w:spacing w:before="0" w:after="240"/>
        <w:jc w:val="both"/>
      </w:pPr>
      <w:r>
        <w:rPr>
          <w:rFonts w:ascii="Times New Roman" w:hAnsi="Times New Roman" w:eastAsia="Times New Roman"/>
          <w:b w:val="0"/>
          <w:i w:val="0"/>
          <w:sz w:val="20"/>
        </w:rPr>
        <w:t>(ii)  in the directors' opinion, there are reasonable grounds to believe that the trust will be able to pay its debts as and when they become due and payable.</w:t>
      </w:r>
    </w:p>
    <w:p>
      <w:pPr>
        <w:spacing w:before="0" w:after="400"/>
        <w:jc w:val="left"/>
      </w:pPr>
      <w:r>
        <w:rPr>
          <w:rFonts w:ascii="Times New Roman" w:hAnsi="Times New Roman" w:eastAsia="Times New Roman"/>
          <w:b w:val="0"/>
          <w:i w:val="0"/>
          <w:sz w:val="20"/>
        </w:rPr>
        <w:t>Signed in accordance with a resolution of the trustee by:</w:t>
      </w:r>
    </w:p>
    <w:p>
      <w:pPr>
        <w:spacing w:after="400"/>
      </w:pPr>
    </w:p>
    <w:p>
      <w:pPr>
        <w:spacing w:before="0" w:after="0"/>
        <w:jc w:val="left"/>
      </w:pPr>
      <w:r>
        <w:rPr>
          <w:rFonts w:ascii="Times New Roman" w:hAnsi="Times New Roman" w:eastAsia="Times New Roman"/>
          <w:b w:val="0"/>
          <w:i w:val="0"/>
          <w:sz w:val="20"/>
        </w:rPr>
        <w:t>__________________________________________________</w:t>
      </w:r>
    </w:p>
    <w:p>
      <w:pPr>
        <w:spacing w:before="0" w:after="0"/>
        <w:jc w:val="left"/>
      </w:pPr>
      <w:r>
        <w:rPr>
          <w:rFonts w:ascii="Times New Roman" w:hAnsi="Times New Roman" w:eastAsia="Times New Roman"/>
          <w:b w:val="0"/>
          <w:i w:val="0"/>
          <w:sz w:val="20"/>
        </w:rPr>
        <w:t>Claudio Neri</w:t>
      </w:r>
    </w:p>
    <w:p>
      <w:pPr>
        <w:spacing w:before="0" w:after="120"/>
        <w:jc w:val="left"/>
      </w:pPr>
      <w:r>
        <w:rPr>
          <w:rFonts w:ascii="Times New Roman" w:hAnsi="Times New Roman" w:eastAsia="Times New Roman"/>
          <w:b w:val="0"/>
          <w:i w:val="0"/>
          <w:sz w:val="20"/>
        </w:rPr>
        <w:t>(Trustee)</w:t>
      </w:r>
    </w:p>
    <w:p>
      <w:pPr>
        <w:spacing w:before="0" w:after="40"/>
        <w:jc w:val="left"/>
      </w:pPr>
      <w:r>
        <w:rPr>
          <w:rFonts w:ascii="Times New Roman" w:hAnsi="Times New Roman" w:eastAsia="Times New Roman"/>
          <w:b w:val="0"/>
          <w:i w:val="0"/>
          <w:sz w:val="20"/>
        </w:rPr>
        <w:t>Dated:</w:t>
      </w:r>
    </w:p>
    <w:p>
      <w:r>
        <w:br w:type="page"/>
      </w:r>
    </w:p>
    <w:p>
      <w:pPr>
        <w:spacing w:before="0" w:after="0"/>
        <w:jc w:val="center"/>
      </w:pPr>
      <w:r>
        <w:rPr>
          <w:rFonts w:ascii="Times New Roman" w:hAnsi="Times New Roman" w:eastAsia="Times New Roman"/>
          <w:b/>
          <w:i w:val="0"/>
          <w:sz w:val="28"/>
        </w:rPr>
        <w:t>Neri Family Trust</w:t>
      </w:r>
    </w:p>
    <w:p>
      <w:pPr>
        <w:spacing w:before="0" w:after="0"/>
        <w:jc w:val="center"/>
      </w:pPr>
      <w:r>
        <w:rPr>
          <w:rFonts w:ascii="Times New Roman" w:hAnsi="Times New Roman" w:eastAsia="Times New Roman"/>
          <w:b/>
          <w:i w:val="0"/>
          <w:sz w:val="22"/>
        </w:rPr>
        <w:t>ABN 76 570 450 383</w:t>
      </w:r>
    </w:p>
    <w:p>
      <w:pPr>
        <w:spacing w:before="0" w:after="0"/>
        <w:jc w:val="center"/>
      </w:pPr>
      <w:r>
        <w:rPr>
          <w:rFonts w:ascii="Times New Roman" w:hAnsi="Times New Roman" w:eastAsia="Times New Roman"/>
          <w:b/>
          <w:i w:val="0"/>
          <w:sz w:val="24"/>
        </w:rPr>
        <w:t>Compilation Report to Neri Family Trust</w:t>
      </w:r>
    </w:p>
    <w:p>
      <w:pPr>
        <w:spacing w:before="40" w:after="40"/>
        <w:pBdr>
          <w:bottom w:val="single" w:sz="12" w:space="1" w:color="000000"/>
        </w:pBdr>
      </w:pPr>
    </w:p>
    <w:p>
      <w:pPr>
        <w:spacing w:before="0" w:after="200"/>
        <w:jc w:val="both"/>
      </w:pPr>
      <w:r>
        <w:rPr>
          <w:rFonts w:ascii="Times New Roman" w:hAnsi="Times New Roman" w:eastAsia="Times New Roman"/>
          <w:b w:val="0"/>
          <w:i w:val="0"/>
          <w:sz w:val="20"/>
        </w:rPr>
        <w:t>We have compiled the accompanying special purpose financial statements of Neri Family Trust, which comprise the balance sheet as at 30 June 2025, the Statement of Profit and Loss for the year then ended, a summary of significant accounting policies and other explanatory notes. The specific purpose for which the special purpose financial statements have been prepared is set out in Note 1 to the financial statements.</w:t>
      </w:r>
    </w:p>
    <w:p>
      <w:pPr>
        <w:spacing w:before="0" w:after="80"/>
        <w:jc w:val="left"/>
      </w:pPr>
      <w:r>
        <w:rPr>
          <w:rFonts w:ascii="Times New Roman" w:hAnsi="Times New Roman" w:eastAsia="Times New Roman"/>
          <w:b w:val="0"/>
          <w:i/>
          <w:sz w:val="20"/>
        </w:rPr>
        <w:t>The Responsibility of the Trustee</w:t>
      </w:r>
    </w:p>
    <w:p>
      <w:pPr>
        <w:spacing w:before="0" w:after="200"/>
        <w:jc w:val="both"/>
      </w:pPr>
      <w:r>
        <w:rPr>
          <w:rFonts w:ascii="Times New Roman" w:hAnsi="Times New Roman" w:eastAsia="Times New Roman"/>
          <w:b w:val="0"/>
          <w:i w:val="0"/>
          <w:sz w:val="20"/>
        </w:rPr>
        <w:t>The directors of the trustee company are solely responsible for the information contained in the special purpose financial statements, the reliability, accuracy and completeness of the information and for the determination that the significant accounting policies used are appropriate to meet the needs of the trust deed and the directors of the trustee company.</w:t>
      </w:r>
    </w:p>
    <w:p>
      <w:pPr>
        <w:spacing w:before="0" w:after="80"/>
        <w:jc w:val="left"/>
      </w:pPr>
      <w:r>
        <w:rPr>
          <w:rFonts w:ascii="Times New Roman" w:hAnsi="Times New Roman" w:eastAsia="Times New Roman"/>
          <w:b w:val="0"/>
          <w:i/>
          <w:sz w:val="20"/>
        </w:rPr>
        <w:t>Our Responsibility</w:t>
      </w:r>
    </w:p>
    <w:p>
      <w:pPr>
        <w:spacing w:before="0" w:after="120"/>
        <w:jc w:val="both"/>
      </w:pPr>
      <w:r>
        <w:rPr>
          <w:rFonts w:ascii="Times New Roman" w:hAnsi="Times New Roman" w:eastAsia="Times New Roman"/>
          <w:b w:val="0"/>
          <w:i w:val="0"/>
          <w:sz w:val="20"/>
        </w:rPr>
        <w:t>On the basis of information provided by the trustee, we have compiled the accompanying special purpose financial statements in accordance with the significant accounting policies as described in Note 1 to the financial statements and APES 315 Compilation of Financial Information.</w:t>
      </w:r>
    </w:p>
    <w:p>
      <w:pPr>
        <w:spacing w:before="0" w:after="200"/>
        <w:jc w:val="both"/>
      </w:pPr>
      <w:r>
        <w:rPr>
          <w:rFonts w:ascii="Times New Roman" w:hAnsi="Times New Roman" w:eastAsia="Times New Roman"/>
          <w:b w:val="0"/>
          <w:i w:val="0"/>
          <w:sz w:val="20"/>
        </w:rPr>
        <w:t>We have applied our expertise in accounting and financial reporting to compile these financial statements in accordance with the significant accounting policies described in Note 1 to the financial statements. We have complied with the relevant ethical requirements of APES 110 Code of Ethics for Professional Accountants (including Independence Standards).</w:t>
      </w:r>
    </w:p>
    <w:p>
      <w:pPr>
        <w:spacing w:before="0" w:after="80"/>
        <w:jc w:val="left"/>
      </w:pPr>
      <w:r>
        <w:rPr>
          <w:rFonts w:ascii="Times New Roman" w:hAnsi="Times New Roman" w:eastAsia="Times New Roman"/>
          <w:b w:val="0"/>
          <w:i/>
          <w:sz w:val="20"/>
        </w:rPr>
        <w:t>Assurance Disclaimer</w:t>
      </w:r>
    </w:p>
    <w:p>
      <w:pPr>
        <w:spacing w:before="0" w:after="120"/>
        <w:jc w:val="both"/>
      </w:pPr>
      <w:r>
        <w:rPr>
          <w:rFonts w:ascii="Times New Roman" w:hAnsi="Times New Roman" w:eastAsia="Times New Roman"/>
          <w:b w:val="0"/>
          <w:i w:val="0"/>
          <w:sz w:val="20"/>
        </w:rPr>
        <w:t>Since a compilation engagement is not an assurance engagement, we are not required to verify the reliability, accuracy or completeness of the information provided to us by management to compile these financial statements. Accordingly, we do not express an audit opinion or a review conclusion on these financial statements.</w:t>
      </w:r>
    </w:p>
    <w:p>
      <w:pPr>
        <w:spacing w:before="0" w:after="400"/>
        <w:jc w:val="both"/>
      </w:pPr>
      <w:r>
        <w:rPr>
          <w:rFonts w:ascii="Times New Roman" w:hAnsi="Times New Roman" w:eastAsia="Times New Roman"/>
          <w:b w:val="0"/>
          <w:i w:val="0"/>
          <w:sz w:val="20"/>
        </w:rPr>
        <w:t>The special purpose financial statements were compiled exclusively for the benefit of the trustee who is responsible for the reliability, accuracy and completeness of the information used to compile them. Accordingly, these special purpose financial statements may not be suitable for other purposes. We do not accept responsibility for the contents of the special purpose financial statements.</w:t>
      </w:r>
    </w:p>
    <w:p>
      <w:pPr>
        <w:spacing w:after="400"/>
      </w:pPr>
    </w:p>
    <w:p>
      <w:pPr>
        <w:spacing w:before="0" w:after="0"/>
        <w:jc w:val="left"/>
      </w:pPr>
      <w:r>
        <w:rPr>
          <w:rFonts w:ascii="Times New Roman" w:hAnsi="Times New Roman" w:eastAsia="Times New Roman"/>
          <w:b w:val="0"/>
          <w:i w:val="0"/>
          <w:sz w:val="20"/>
        </w:rPr>
        <w:t>________________________________________</w:t>
      </w:r>
    </w:p>
    <w:p>
      <w:pPr>
        <w:spacing w:before="0" w:after="0"/>
        <w:jc w:val="left"/>
      </w:pPr>
      <w:r>
        <w:rPr>
          <w:rFonts w:ascii="Times New Roman" w:hAnsi="Times New Roman" w:eastAsia="Times New Roman"/>
          <w:b w:val="0"/>
          <w:i w:val="0"/>
          <w:sz w:val="20"/>
        </w:rPr>
        <w:t>M C &amp; S Pty Ltd</w:t>
      </w:r>
    </w:p>
    <w:p>
      <w:pPr>
        <w:spacing w:before="0" w:after="0"/>
        <w:jc w:val="left"/>
      </w:pPr>
      <w:r>
        <w:rPr>
          <w:rFonts w:ascii="Times New Roman" w:hAnsi="Times New Roman" w:eastAsia="Times New Roman"/>
          <w:b w:val="0"/>
          <w:i w:val="0"/>
          <w:sz w:val="20"/>
        </w:rPr>
        <w:t>PO Box 4440</w:t>
      </w:r>
    </w:p>
    <w:p>
      <w:pPr>
        <w:spacing w:before="0" w:after="120"/>
        <w:jc w:val="left"/>
      </w:pPr>
      <w:r>
        <w:rPr>
          <w:rFonts w:ascii="Times New Roman" w:hAnsi="Times New Roman" w:eastAsia="Times New Roman"/>
          <w:b w:val="0"/>
          <w:i w:val="0"/>
          <w:sz w:val="20"/>
        </w:rPr>
        <w:t>Dandenong South VIC 3164</w:t>
      </w:r>
    </w:p>
    <w:p>
      <w:pPr>
        <w:spacing w:before="0" w:after="40"/>
        <w:jc w:val="left"/>
      </w:pPr>
      <w:r>
        <w:rPr>
          <w:rFonts w:ascii="Times New Roman" w:hAnsi="Times New Roman" w:eastAsia="Times New Roman"/>
          <w:b w:val="0"/>
          <w:i w:val="0"/>
          <w:sz w:val="20"/>
        </w:rPr>
        <w:t>16 February, 2026</w:t>
      </w:r>
    </w:p>
    <w:sectPr w:rsidR="00FC693F" w:rsidRPr="0006063C" w:rsidSect="00034616">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