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2A6B70">
      <w:pPr>
        <w:numPr>
          <w:ilvl w:val="0"/>
          <w:numId w:val="2"/>
        </w:numPr>
        <w:spacing w:line="360" w:lineRule="auto"/>
        <w:ind w:left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6518DF" w:rsidP="002A6B70">
      <w:pPr>
        <w:spacing w:line="360" w:lineRule="auto"/>
        <w:ind w:left="720"/>
        <w:jc w:val="both"/>
        <w:rPr>
          <w:color w:val="000000" w:themeColor="text1"/>
        </w:rPr>
      </w:pPr>
      <w:r w:rsidRPr="00D61C95">
        <w:t>To</w:t>
      </w:r>
      <w:r w:rsidR="00E451DD">
        <w:t xml:space="preserve"> </w:t>
      </w:r>
      <w:r w:rsidR="00003502">
        <w:t xml:space="preserve">describe the </w:t>
      </w:r>
      <w:r w:rsidRPr="00D61C95">
        <w:t xml:space="preserve">procedure for </w:t>
      </w:r>
      <w:r w:rsidR="005D27AD">
        <w:t>Hot work</w:t>
      </w:r>
      <w:r w:rsidR="002D2BE6">
        <w:t xml:space="preserve"> permit.</w:t>
      </w:r>
    </w:p>
    <w:p w:rsidR="00F45463" w:rsidRDefault="00530280" w:rsidP="002A6B70">
      <w:pPr>
        <w:numPr>
          <w:ilvl w:val="0"/>
          <w:numId w:val="2"/>
        </w:numPr>
        <w:spacing w:line="360" w:lineRule="auto"/>
        <w:ind w:left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F45463" w:rsidRDefault="00C3702C" w:rsidP="002A6B70">
      <w:pPr>
        <w:spacing w:line="360" w:lineRule="auto"/>
        <w:ind w:left="720"/>
        <w:jc w:val="both"/>
        <w:rPr>
          <w:color w:val="000000" w:themeColor="text1"/>
        </w:rPr>
      </w:pPr>
      <w:r>
        <w:t xml:space="preserve">This Standard Operating </w:t>
      </w:r>
      <w:r w:rsidR="002D2BE6">
        <w:t xml:space="preserve">Procedure is applicable for </w:t>
      </w:r>
      <w:r w:rsidR="00410369">
        <w:t>all the employees working</w:t>
      </w:r>
      <w:r w:rsidR="00C96098" w:rsidRPr="00F45463">
        <w:rPr>
          <w:sz w:val="22"/>
        </w:rPr>
        <w:t xml:space="preserve"> at Discovery </w:t>
      </w:r>
      <w:r w:rsidR="005F6169">
        <w:rPr>
          <w:sz w:val="22"/>
        </w:rPr>
        <w:t>Laboratories</w:t>
      </w:r>
      <w:r w:rsidR="00C96098" w:rsidRPr="00F45463">
        <w:rPr>
          <w:sz w:val="22"/>
        </w:rPr>
        <w:t xml:space="preserve"> pvt.ltd.</w:t>
      </w:r>
    </w:p>
    <w:p w:rsidR="00CF6CB7" w:rsidRDefault="00530280" w:rsidP="002A6B70">
      <w:pPr>
        <w:numPr>
          <w:ilvl w:val="0"/>
          <w:numId w:val="2"/>
        </w:numPr>
        <w:spacing w:line="360" w:lineRule="auto"/>
        <w:ind w:left="720"/>
        <w:jc w:val="both"/>
      </w:pPr>
      <w:r w:rsidRPr="00CF6CB7">
        <w:rPr>
          <w:b/>
          <w:color w:val="000000" w:themeColor="text1"/>
        </w:rPr>
        <w:t>RESPONSIBILITY:</w:t>
      </w:r>
    </w:p>
    <w:p w:rsidR="00D017C2" w:rsidRDefault="00D1715C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D017C2" w:rsidRPr="00C96098" w:rsidRDefault="00F863FA" w:rsidP="002A6B70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C42FCB">
        <w:rPr>
          <w:color w:val="000000" w:themeColor="text1"/>
        </w:rPr>
        <w:t>I</w:t>
      </w:r>
      <w:r w:rsidR="00D017C2" w:rsidRPr="00C42FCB">
        <w:rPr>
          <w:b/>
          <w:color w:val="000000" w:themeColor="text1"/>
        </w:rPr>
        <w:t>s</w:t>
      </w:r>
      <w:r w:rsidR="00D017C2" w:rsidRPr="00C42FCB">
        <w:rPr>
          <w:color w:val="000000" w:themeColor="text1"/>
        </w:rPr>
        <w:t xml:space="preserve"> the responsible to </w:t>
      </w:r>
      <w:r w:rsidR="00C96098">
        <w:rPr>
          <w:color w:val="000000" w:themeColor="text1"/>
        </w:rPr>
        <w:t>i</w:t>
      </w:r>
      <w:r w:rsidR="00A869FC">
        <w:rPr>
          <w:color w:val="000000" w:themeColor="text1"/>
        </w:rPr>
        <w:t xml:space="preserve">ssue the work permit copy </w:t>
      </w:r>
      <w:r w:rsidR="002A77EA">
        <w:rPr>
          <w:color w:val="000000" w:themeColor="text1"/>
        </w:rPr>
        <w:t xml:space="preserve">after allotting the number and </w:t>
      </w:r>
      <w:r w:rsidR="00A869FC">
        <w:rPr>
          <w:color w:val="000000" w:themeColor="text1"/>
        </w:rPr>
        <w:t>give clearance to the work with necessary precautions</w:t>
      </w:r>
      <w:r w:rsidR="002A77EA">
        <w:rPr>
          <w:color w:val="000000" w:themeColor="text1"/>
        </w:rPr>
        <w:t>.</w:t>
      </w:r>
    </w:p>
    <w:p w:rsidR="002A77EA" w:rsidRPr="002A77EA" w:rsidRDefault="002A77EA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</w:rPr>
        <w:t>User Department</w:t>
      </w:r>
      <w:r w:rsidRPr="002A77EA">
        <w:rPr>
          <w:b/>
          <w:color w:val="000000" w:themeColor="text1"/>
        </w:rPr>
        <w:t xml:space="preserve"> </w:t>
      </w:r>
    </w:p>
    <w:p w:rsidR="002A77EA" w:rsidRPr="002A77EA" w:rsidRDefault="00C42FCB" w:rsidP="002A6B70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</w:t>
      </w:r>
      <w:r w:rsidR="00F863FA">
        <w:t>s the responsib</w:t>
      </w:r>
      <w:r>
        <w:t>le to</w:t>
      </w:r>
      <w:r w:rsidR="00F863FA" w:rsidRPr="0085350E">
        <w:t xml:space="preserve"> </w:t>
      </w:r>
      <w:r w:rsidR="002A77EA">
        <w:t>collect the permit copy from EHS department</w:t>
      </w:r>
      <w:r w:rsidR="002A77EA">
        <w:rPr>
          <w:b/>
          <w:color w:val="000000" w:themeColor="text1"/>
          <w:szCs w:val="28"/>
        </w:rPr>
        <w:t xml:space="preserve"> </w:t>
      </w:r>
      <w:r w:rsidR="002A77EA">
        <w:t xml:space="preserve">and take necessary measure to comply the check points as per permit. </w:t>
      </w:r>
    </w:p>
    <w:p w:rsidR="00F863FA" w:rsidRPr="002A77EA" w:rsidRDefault="002A77EA" w:rsidP="002A6B70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It is the responsibility of</w:t>
      </w:r>
      <w:r w:rsidRPr="002A77EA">
        <w:rPr>
          <w:b/>
        </w:rPr>
        <w:t xml:space="preserve"> </w:t>
      </w:r>
      <w:r>
        <w:t>u</w:t>
      </w:r>
      <w:r w:rsidRPr="006B52CD">
        <w:t>ser department</w:t>
      </w:r>
      <w:r>
        <w:t xml:space="preserve"> to distribute the permit copies to respective department</w:t>
      </w:r>
    </w:p>
    <w:p w:rsidR="0078165E" w:rsidRPr="002A77EA" w:rsidRDefault="002A77EA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Engineering Department</w:t>
      </w:r>
    </w:p>
    <w:p w:rsidR="00A869FC" w:rsidRPr="002A77EA" w:rsidRDefault="0078165E" w:rsidP="002A6B70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Is the responsible to</w:t>
      </w:r>
      <w:r w:rsidRPr="0085350E">
        <w:t xml:space="preserve"> </w:t>
      </w:r>
      <w:r w:rsidR="002A77EA">
        <w:t>comply the check points as per the permit.</w:t>
      </w:r>
    </w:p>
    <w:p w:rsidR="004F6097" w:rsidRDefault="004F6097" w:rsidP="002A6B70">
      <w:pPr>
        <w:numPr>
          <w:ilvl w:val="0"/>
          <w:numId w:val="2"/>
        </w:numPr>
        <w:spacing w:line="360" w:lineRule="auto"/>
        <w:ind w:left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2D2BE6">
        <w:rPr>
          <w:b/>
          <w:caps/>
          <w:color w:val="000000" w:themeColor="text1"/>
        </w:rPr>
        <w:t xml:space="preserve"> </w:t>
      </w:r>
    </w:p>
    <w:p w:rsidR="002D2BE6" w:rsidRPr="002A6B70" w:rsidRDefault="002D2BE6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2A6B70">
        <w:rPr>
          <w:b/>
          <w:color w:val="000000" w:themeColor="text1"/>
        </w:rPr>
        <w:t>Hot Work:</w:t>
      </w:r>
    </w:p>
    <w:p w:rsidR="002D2BE6" w:rsidRPr="002D2BE6" w:rsidRDefault="002D2BE6" w:rsidP="002A6B70">
      <w:pPr>
        <w:pStyle w:val="ListParagraph"/>
        <w:spacing w:line="360" w:lineRule="auto"/>
        <w:ind w:left="1296"/>
        <w:jc w:val="both"/>
        <w:rPr>
          <w:caps/>
        </w:rPr>
      </w:pPr>
      <w:r w:rsidRPr="002D2BE6">
        <w:rPr>
          <w:bCs/>
          <w:shd w:val="clear" w:color="auto" w:fill="FFFFFF"/>
        </w:rPr>
        <w:t>Hot work</w:t>
      </w:r>
      <w:r w:rsidRPr="002D2BE6">
        <w:rPr>
          <w:rStyle w:val="apple-converted-space"/>
          <w:shd w:val="clear" w:color="auto" w:fill="FFFFFF"/>
        </w:rPr>
        <w:t> </w:t>
      </w:r>
      <w:r w:rsidRPr="002D2BE6">
        <w:rPr>
          <w:shd w:val="clear" w:color="auto" w:fill="FFFFFF"/>
        </w:rPr>
        <w:t>is any</w:t>
      </w:r>
      <w:r w:rsidRPr="002D2BE6">
        <w:rPr>
          <w:rStyle w:val="apple-converted-space"/>
          <w:shd w:val="clear" w:color="auto" w:fill="FFFFFF"/>
        </w:rPr>
        <w:t> </w:t>
      </w:r>
      <w:r w:rsidRPr="002D2BE6">
        <w:rPr>
          <w:bCs/>
          <w:shd w:val="clear" w:color="auto" w:fill="FFFFFF"/>
        </w:rPr>
        <w:t>work</w:t>
      </w:r>
      <w:r w:rsidRPr="002D2BE6">
        <w:rPr>
          <w:rStyle w:val="apple-converted-space"/>
          <w:shd w:val="clear" w:color="auto" w:fill="FFFFFF"/>
        </w:rPr>
        <w:t> </w:t>
      </w:r>
      <w:r w:rsidRPr="002D2BE6">
        <w:rPr>
          <w:shd w:val="clear" w:color="auto" w:fill="FFFFFF"/>
        </w:rPr>
        <w:t>that involves burning, welding, using fire- or spark-producing tools, or that produces a source of ignition. Welding and cutting operations are common to drilling and servicing operations.</w:t>
      </w:r>
    </w:p>
    <w:p w:rsidR="004F6097" w:rsidRPr="00B00137" w:rsidRDefault="004F6097" w:rsidP="002A6B70">
      <w:pPr>
        <w:numPr>
          <w:ilvl w:val="0"/>
          <w:numId w:val="2"/>
        </w:numPr>
        <w:spacing w:line="360" w:lineRule="auto"/>
        <w:ind w:left="72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Hot work shall be done by the </w:t>
      </w:r>
      <w:r w:rsidR="002F5EF5">
        <w:t>Engineering</w:t>
      </w:r>
      <w:r>
        <w:t xml:space="preserve"> department. The hot work permit is not required in the engineering work shop.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Work place personnel / work carrying personnel shall collect the permit from EHS department.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lastRenderedPageBreak/>
        <w:t>EHS department will a</w:t>
      </w:r>
      <w:r w:rsidR="002F5EF5">
        <w:t>l</w:t>
      </w:r>
      <w:r>
        <w:t>lot the permit number as mentioned below and issue the permit.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The work permit numbering system as HWP/ XXX/ YY</w:t>
      </w:r>
      <w:r w:rsidR="00625A14">
        <w:t>/ ZZ</w:t>
      </w:r>
      <w:r>
        <w:t xml:space="preserve"> Where HWP is hot work </w:t>
      </w:r>
      <w:r w:rsidR="00625A14">
        <w:t>permit, XXX is serial number,</w:t>
      </w:r>
      <w:r>
        <w:t xml:space="preserve"> YY is the </w:t>
      </w:r>
      <w:r w:rsidR="00625A14">
        <w:t>current month and ZZ is the current year</w:t>
      </w:r>
      <w:r>
        <w:t>. For example: HWP/ 001/</w:t>
      </w:r>
      <w:r w:rsidR="00625A14">
        <w:t>01/</w:t>
      </w:r>
      <w:r>
        <w:t>14.Here HWP indicates hot work permit, 001 is per</w:t>
      </w:r>
      <w:r w:rsidR="00625A14">
        <w:t>mit number and 01 is current month and 14 is the current year</w:t>
      </w:r>
      <w:r>
        <w:t>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The permit issue details should be record in the register.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Work place in charge shall initiate the permit by complying the check points 01 to 12 points as in the Current version EHS</w:t>
      </w:r>
      <w:r w:rsidR="002F5EF5">
        <w:t>004</w:t>
      </w:r>
      <w:r>
        <w:t>-F</w:t>
      </w:r>
      <w:r w:rsidR="002F5EF5">
        <w:t>M</w:t>
      </w:r>
      <w:r w:rsidR="00283921">
        <w:t>011</w:t>
      </w:r>
      <w:r>
        <w:t xml:space="preserve">. Work place in charge / head given clearance to work. </w:t>
      </w:r>
    </w:p>
    <w:p w:rsidR="00F45463" w:rsidRDefault="002F5EF5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Engineering </w:t>
      </w:r>
      <w:r w:rsidR="00F45463">
        <w:t>department shall comply the check points from 13 to 18.</w:t>
      </w:r>
      <w:r w:rsidR="00F45463" w:rsidRPr="0042503D">
        <w:t xml:space="preserve"> </w:t>
      </w:r>
      <w:r w:rsidR="00F45463">
        <w:t xml:space="preserve">Points as in the Current version </w:t>
      </w:r>
      <w:r w:rsidR="00283921">
        <w:t>EHS004-FM011</w:t>
      </w:r>
      <w:r w:rsidR="00F45463">
        <w:t>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EHS department shall comply all the </w:t>
      </w:r>
      <w:r w:rsidRPr="00627C54">
        <w:t>above</w:t>
      </w:r>
      <w:r>
        <w:t xml:space="preserve"> 18 check points as given in the Current version</w:t>
      </w:r>
      <w:r w:rsidR="00365EB8">
        <w:t xml:space="preserve"> </w:t>
      </w:r>
      <w:r w:rsidR="002D2BE6">
        <w:t>EHS004-FM011-02</w:t>
      </w:r>
      <w:r w:rsidR="002F5EF5">
        <w:t xml:space="preserve">. </w:t>
      </w:r>
      <w:r>
        <w:t xml:space="preserve">Work will start after getting the approval from Plant in charge or designee.  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 xml:space="preserve">EHS department make intermittent check to ensure safety of job. If any of the conditions </w:t>
      </w:r>
      <w:r w:rsidR="002F5EF5">
        <w:t>m</w:t>
      </w:r>
      <w:r>
        <w:t>entioned in the checklist are found violated, EHS department is authorized to cancel the permit.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Work permit is valid up only in general shift i.e. from 09.00 to 18.00 hrs and valid only for</w:t>
      </w:r>
      <w:r w:rsidR="00365EB8">
        <w:t xml:space="preserve"> </w:t>
      </w:r>
      <w:r>
        <w:t>the mentioned date.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The permit can be extended for the same day beyond 18.00 Hrs, subject to the approval of the Plant in charge / designee based on the requirement.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Work place personal / work carrying personal should produce the permit whenever asked during the course work.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After compl</w:t>
      </w:r>
      <w:r w:rsidR="002F5EF5">
        <w:t>etion of</w:t>
      </w:r>
      <w:r>
        <w:t xml:space="preserve"> the job work place personal / work carrying personal should hand over the  Permit copies to respective departments. </w:t>
      </w:r>
    </w:p>
    <w:p w:rsidR="00F45463" w:rsidRDefault="00F45463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lastRenderedPageBreak/>
        <w:t>The permit is i</w:t>
      </w:r>
      <w:r w:rsidR="002D2BE6">
        <w:t>n triplicate. The original copy</w:t>
      </w:r>
      <w:r>
        <w:t xml:space="preserve"> with the person, who will be doing the</w:t>
      </w:r>
      <w:r w:rsidR="007F17DD">
        <w:t xml:space="preserve"> </w:t>
      </w:r>
      <w:r w:rsidR="002D2BE6">
        <w:t xml:space="preserve">work, The other </w:t>
      </w:r>
      <w:r>
        <w:t>copy shall be with EHS department and the</w:t>
      </w:r>
      <w:r w:rsidR="002D2BE6">
        <w:t xml:space="preserve"> last</w:t>
      </w:r>
      <w:r>
        <w:t xml:space="preserve"> copy shall be with the department where the work is being done.</w:t>
      </w:r>
      <w:r w:rsidRPr="001E701D">
        <w:t xml:space="preserve">                    </w:t>
      </w:r>
      <w:r>
        <w:t xml:space="preserve">                                  </w:t>
      </w:r>
    </w:p>
    <w:p w:rsidR="002B502D" w:rsidRDefault="004F6097" w:rsidP="002A6B70">
      <w:pPr>
        <w:numPr>
          <w:ilvl w:val="0"/>
          <w:numId w:val="2"/>
        </w:numPr>
        <w:spacing w:line="360" w:lineRule="auto"/>
        <w:ind w:left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2B502D" w:rsidRPr="002B502D" w:rsidRDefault="00FF7BF5" w:rsidP="002A6B7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aps/>
          <w:color w:val="000000" w:themeColor="text1"/>
        </w:rPr>
      </w:pPr>
      <w:r>
        <w:t xml:space="preserve">Hot work permit </w:t>
      </w:r>
      <w:r>
        <w:tab/>
      </w:r>
      <w:r w:rsidR="00E43FB0">
        <w:tab/>
      </w:r>
      <w:r w:rsidR="00E43FB0">
        <w:tab/>
      </w:r>
      <w:r w:rsidR="00E43FB0">
        <w:tab/>
      </w:r>
      <w:r w:rsidR="002B502D">
        <w:tab/>
        <w:t>:</w:t>
      </w:r>
      <w:r w:rsidR="002B502D">
        <w:tab/>
      </w:r>
      <w:r w:rsidR="00283921">
        <w:t>EHS004-FM011</w:t>
      </w:r>
    </w:p>
    <w:p w:rsidR="00AE14EB" w:rsidRPr="00B00137" w:rsidRDefault="004F6097" w:rsidP="002A6B70">
      <w:pPr>
        <w:numPr>
          <w:ilvl w:val="0"/>
          <w:numId w:val="2"/>
        </w:numPr>
        <w:spacing w:line="360" w:lineRule="auto"/>
        <w:ind w:left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40" w:type="dxa"/>
        <w:jc w:val="center"/>
        <w:tblInd w:w="-1391" w:type="dxa"/>
        <w:tblLayout w:type="fixed"/>
        <w:tblLook w:val="04A0"/>
      </w:tblPr>
      <w:tblGrid>
        <w:gridCol w:w="1366"/>
        <w:gridCol w:w="2430"/>
        <w:gridCol w:w="4680"/>
        <w:gridCol w:w="1664"/>
      </w:tblGrid>
      <w:tr w:rsidR="00283921" w:rsidRPr="00B00137" w:rsidTr="002A6B70">
        <w:trPr>
          <w:trHeight w:val="374"/>
          <w:tblHeader/>
          <w:jc w:val="center"/>
        </w:trPr>
        <w:tc>
          <w:tcPr>
            <w:tcW w:w="1366" w:type="dxa"/>
            <w:vAlign w:val="center"/>
          </w:tcPr>
          <w:p w:rsidR="00283921" w:rsidRPr="00B00137" w:rsidRDefault="0028392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2430" w:type="dxa"/>
            <w:vAlign w:val="center"/>
          </w:tcPr>
          <w:p w:rsidR="00283921" w:rsidRPr="00B00137" w:rsidRDefault="0028392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680" w:type="dxa"/>
            <w:vAlign w:val="center"/>
          </w:tcPr>
          <w:p w:rsidR="00283921" w:rsidRPr="00B00137" w:rsidRDefault="0028392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664" w:type="dxa"/>
            <w:vAlign w:val="center"/>
          </w:tcPr>
          <w:p w:rsidR="00283921" w:rsidRPr="007D3F91" w:rsidRDefault="0028392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283921" w:rsidRPr="00B00137" w:rsidTr="002A6B70">
        <w:trPr>
          <w:trHeight w:val="683"/>
          <w:jc w:val="center"/>
        </w:trPr>
        <w:tc>
          <w:tcPr>
            <w:tcW w:w="1366" w:type="dxa"/>
          </w:tcPr>
          <w:p w:rsidR="00283921" w:rsidRPr="00B00137" w:rsidRDefault="0028392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2430" w:type="dxa"/>
          </w:tcPr>
          <w:p w:rsidR="00283921" w:rsidRPr="00B00137" w:rsidRDefault="00283921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4680" w:type="dxa"/>
          </w:tcPr>
          <w:p w:rsidR="00283921" w:rsidRPr="00B00137" w:rsidRDefault="0028392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664" w:type="dxa"/>
          </w:tcPr>
          <w:p w:rsidR="00283921" w:rsidRPr="00B00137" w:rsidRDefault="00283921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283921" w:rsidRPr="00B00137" w:rsidTr="002A6B70">
        <w:trPr>
          <w:trHeight w:val="374"/>
          <w:jc w:val="center"/>
        </w:trPr>
        <w:tc>
          <w:tcPr>
            <w:tcW w:w="1366" w:type="dxa"/>
          </w:tcPr>
          <w:p w:rsidR="00283921" w:rsidRPr="00B00137" w:rsidRDefault="0028392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2430" w:type="dxa"/>
          </w:tcPr>
          <w:p w:rsidR="00283921" w:rsidRPr="00B00137" w:rsidRDefault="00283921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80" w:type="dxa"/>
            <w:vAlign w:val="center"/>
          </w:tcPr>
          <w:p w:rsidR="00283921" w:rsidRPr="00183F1F" w:rsidRDefault="00283921" w:rsidP="00183F1F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t>Revised as per current SOP &amp; more clear and clarity.</w:t>
            </w:r>
          </w:p>
        </w:tc>
        <w:tc>
          <w:tcPr>
            <w:tcW w:w="1664" w:type="dxa"/>
          </w:tcPr>
          <w:p w:rsidR="00283921" w:rsidRDefault="00283921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283921" w:rsidRPr="007D3F91" w:rsidRDefault="00283921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283921" w:rsidRPr="00B00137" w:rsidTr="002A6B70">
        <w:trPr>
          <w:trHeight w:val="374"/>
          <w:jc w:val="center"/>
        </w:trPr>
        <w:tc>
          <w:tcPr>
            <w:tcW w:w="1366" w:type="dxa"/>
          </w:tcPr>
          <w:p w:rsidR="00283921" w:rsidRPr="00B00137" w:rsidRDefault="00283921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430" w:type="dxa"/>
          </w:tcPr>
          <w:p w:rsidR="00283921" w:rsidRPr="00B00137" w:rsidRDefault="00283921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80" w:type="dxa"/>
            <w:vAlign w:val="center"/>
          </w:tcPr>
          <w:p w:rsidR="00283921" w:rsidRPr="00183F1F" w:rsidRDefault="00283921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283921" w:rsidRDefault="00283921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</w:t>
            </w:r>
            <w:r>
              <w:rPr>
                <w:bCs/>
                <w:color w:val="000000" w:themeColor="text1"/>
              </w:rPr>
              <w:t>5.</w:t>
            </w:r>
          </w:p>
          <w:p w:rsidR="00283921" w:rsidRDefault="00283921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Hot work Definition Included.</w:t>
            </w:r>
          </w:p>
          <w:p w:rsidR="00283921" w:rsidRPr="00183F1F" w:rsidRDefault="00283921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 Work permit format number changed</w:t>
            </w:r>
          </w:p>
        </w:tc>
        <w:tc>
          <w:tcPr>
            <w:tcW w:w="1664" w:type="dxa"/>
          </w:tcPr>
          <w:p w:rsidR="00283921" w:rsidRPr="007D3F91" w:rsidRDefault="00283921" w:rsidP="002D2BE6">
            <w:pPr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CCF/GEN/17017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2F5E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160" w:rsidRDefault="00E54160">
      <w:r>
        <w:separator/>
      </w:r>
    </w:p>
  </w:endnote>
  <w:endnote w:type="continuationSeparator" w:id="1">
    <w:p w:rsidR="00E54160" w:rsidRDefault="00E54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6B" w:rsidRDefault="00CB35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CB356B">
      <w:trPr>
        <w:trHeight w:val="32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CB356B">
      <w:trPr>
        <w:trHeight w:val="445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2F5EF5" w:rsidRPr="00E90738" w:rsidTr="00CB356B">
      <w:trPr>
        <w:trHeight w:val="352"/>
      </w:trPr>
      <w:tc>
        <w:tcPr>
          <w:tcW w:w="1926" w:type="dxa"/>
          <w:vAlign w:val="center"/>
        </w:tcPr>
        <w:p w:rsidR="002F5EF5" w:rsidRPr="0029058A" w:rsidRDefault="002F5EF5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2F5EF5" w:rsidRPr="0029058A" w:rsidRDefault="007F12A9" w:rsidP="00A01CB8">
          <w:pPr>
            <w:tabs>
              <w:tab w:val="center" w:pos="4320"/>
              <w:tab w:val="right" w:pos="8640"/>
            </w:tabs>
            <w:jc w:val="center"/>
          </w:pPr>
          <w:r>
            <w:t>E.G.</w:t>
          </w:r>
          <w:r w:rsidR="002D2BE6">
            <w:t>M</w:t>
          </w:r>
          <w:r>
            <w:t>.</w:t>
          </w:r>
          <w:r w:rsidR="002D2BE6">
            <w:t>Tilak</w:t>
          </w:r>
        </w:p>
      </w:tc>
      <w:tc>
        <w:tcPr>
          <w:tcW w:w="2909" w:type="dxa"/>
          <w:vAlign w:val="center"/>
        </w:tcPr>
        <w:p w:rsidR="002F5EF5" w:rsidRPr="0029058A" w:rsidRDefault="00343C39" w:rsidP="00A01CB8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2F5EF5" w:rsidRPr="0029058A" w:rsidRDefault="007F12A9" w:rsidP="006E21D7">
          <w:pPr>
            <w:jc w:val="center"/>
          </w:pPr>
          <w:r>
            <w:t>Ch. Mahendar Reddy</w:t>
          </w:r>
        </w:p>
      </w:tc>
    </w:tr>
    <w:tr w:rsidR="002F5EF5" w:rsidRPr="00E90738" w:rsidTr="00CB356B">
      <w:trPr>
        <w:trHeight w:val="352"/>
      </w:trPr>
      <w:tc>
        <w:tcPr>
          <w:tcW w:w="1926" w:type="dxa"/>
          <w:vAlign w:val="center"/>
        </w:tcPr>
        <w:p w:rsidR="002F5EF5" w:rsidRPr="0029058A" w:rsidRDefault="002F5EF5" w:rsidP="006E21D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2F5EF5" w:rsidRPr="0029058A" w:rsidRDefault="002F5EF5" w:rsidP="00A01CB8">
          <w:pPr>
            <w:jc w:val="center"/>
          </w:pPr>
          <w:r>
            <w:t>EHS</w:t>
          </w:r>
        </w:p>
      </w:tc>
      <w:tc>
        <w:tcPr>
          <w:tcW w:w="2909" w:type="dxa"/>
          <w:vAlign w:val="center"/>
        </w:tcPr>
        <w:p w:rsidR="002F5EF5" w:rsidRPr="0029058A" w:rsidRDefault="00343C39" w:rsidP="00A01CB8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2F5EF5" w:rsidRPr="0029058A" w:rsidRDefault="002F5EF5" w:rsidP="006E21D7">
          <w:pPr>
            <w:jc w:val="center"/>
          </w:pPr>
          <w:r w:rsidRPr="0029058A">
            <w:t>Quality Assurance</w:t>
          </w:r>
        </w:p>
      </w:tc>
    </w:tr>
  </w:tbl>
  <w:p w:rsidR="002F5EF5" w:rsidRPr="00333909" w:rsidRDefault="0081115F" w:rsidP="002F5EF5">
    <w:pPr>
      <w:pStyle w:val="Footer"/>
      <w:ind w:left="-810"/>
    </w:pPr>
    <w:r>
      <w:t>QA001-FM139-01</w:t>
    </w:r>
  </w:p>
  <w:p w:rsidR="005251EA" w:rsidRPr="005251EA" w:rsidRDefault="005251EA" w:rsidP="005251EA">
    <w:pPr>
      <w:pStyle w:val="Footer"/>
      <w:ind w:left="-504"/>
      <w:rPr>
        <w:sz w:val="1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160" w:rsidRDefault="00E54160">
      <w:r>
        <w:separator/>
      </w:r>
    </w:p>
  </w:footnote>
  <w:footnote w:type="continuationSeparator" w:id="1">
    <w:p w:rsidR="00E54160" w:rsidRDefault="00E541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6B" w:rsidRDefault="00CB35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43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070"/>
      <w:gridCol w:w="1699"/>
      <w:gridCol w:w="2692"/>
      <w:gridCol w:w="2064"/>
      <w:gridCol w:w="1555"/>
    </w:tblGrid>
    <w:tr w:rsidR="00C3702C" w:rsidRPr="007D7C90" w:rsidTr="00EB1319">
      <w:trPr>
        <w:cantSplit/>
        <w:trHeight w:hRule="exact" w:val="383"/>
      </w:trPr>
      <w:tc>
        <w:tcPr>
          <w:tcW w:w="2070" w:type="dxa"/>
          <w:vMerge w:val="restart"/>
          <w:vAlign w:val="center"/>
        </w:tcPr>
        <w:p w:rsidR="00C3702C" w:rsidRPr="007D7C90" w:rsidRDefault="0081115F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81115F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41400" cy="548640"/>
                <wp:effectExtent l="19050" t="0" r="635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0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EB1319">
      <w:trPr>
        <w:cantSplit/>
        <w:trHeight w:hRule="exact" w:val="347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699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692" w:type="dxa"/>
          <w:vAlign w:val="center"/>
        </w:tcPr>
        <w:p w:rsidR="005251EA" w:rsidRPr="007D7C90" w:rsidRDefault="005251EA" w:rsidP="005D27AD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-00</w:t>
          </w:r>
          <w:r w:rsidR="005D27AD">
            <w:t>4</w:t>
          </w:r>
          <w:r w:rsidRPr="007D7C90">
            <w:t>-0</w:t>
          </w:r>
          <w:r w:rsidR="009936B4">
            <w:t>2</w:t>
          </w:r>
        </w:p>
      </w:tc>
      <w:tc>
        <w:tcPr>
          <w:tcW w:w="2064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555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EB1319">
      <w:trPr>
        <w:cantSplit/>
        <w:trHeight w:hRule="exact" w:val="365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699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692" w:type="dxa"/>
          <w:vAlign w:val="center"/>
        </w:tcPr>
        <w:p w:rsidR="005251EA" w:rsidRPr="007D7C90" w:rsidRDefault="00657A51" w:rsidP="005D27AD">
          <w:r>
            <w:t>EHS</w:t>
          </w:r>
          <w:r w:rsidR="009936B4">
            <w:t>-</w:t>
          </w:r>
          <w:r w:rsidR="005251EA" w:rsidRPr="007D7C90">
            <w:t>00</w:t>
          </w:r>
          <w:r w:rsidR="005D27AD">
            <w:t>4</w:t>
          </w:r>
          <w:r w:rsidR="005251EA" w:rsidRPr="007D7C90">
            <w:t>-0</w:t>
          </w:r>
          <w:r w:rsidR="009936B4">
            <w:t>1</w:t>
          </w:r>
        </w:p>
      </w:tc>
      <w:tc>
        <w:tcPr>
          <w:tcW w:w="2064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555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EB1319">
      <w:trPr>
        <w:cantSplit/>
        <w:trHeight w:hRule="exact" w:val="275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699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692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64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555" w:type="dxa"/>
          <w:vAlign w:val="center"/>
        </w:tcPr>
        <w:p w:rsidR="005251EA" w:rsidRPr="007D7C90" w:rsidRDefault="009F3F1C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343C39">
            <w:rPr>
              <w:noProof/>
            </w:rPr>
            <w:t>1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343C39">
            <w:rPr>
              <w:noProof/>
            </w:rPr>
            <w:t>3</w:t>
          </w:r>
          <w:r w:rsidRPr="007D7C90">
            <w:fldChar w:fldCharType="end"/>
          </w:r>
        </w:p>
      </w:tc>
    </w:tr>
    <w:tr w:rsidR="005251EA" w:rsidRPr="007D7C90" w:rsidTr="00EB1319">
      <w:trPr>
        <w:cantSplit/>
        <w:trHeight w:hRule="exact" w:val="347"/>
      </w:trPr>
      <w:tc>
        <w:tcPr>
          <w:tcW w:w="10080" w:type="dxa"/>
          <w:gridSpan w:val="5"/>
          <w:vAlign w:val="center"/>
        </w:tcPr>
        <w:p w:rsidR="005251EA" w:rsidRPr="007D7C90" w:rsidRDefault="005251EA" w:rsidP="005D27AD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5D27AD">
            <w:rPr>
              <w:b/>
            </w:rPr>
            <w:t xml:space="preserve">HOT WORK </w:t>
          </w:r>
          <w:r w:rsidR="00003502">
            <w:rPr>
              <w:b/>
            </w:rPr>
            <w:t>PERMIT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9F3F1C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6B3BEA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F3A221E"/>
    <w:multiLevelType w:val="hybridMultilevel"/>
    <w:tmpl w:val="FF34FFEA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6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E5725"/>
    <w:multiLevelType w:val="multilevel"/>
    <w:tmpl w:val="DCCE64E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68B2F1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6">
    <w:nsid w:val="688516CA"/>
    <w:multiLevelType w:val="multilevel"/>
    <w:tmpl w:val="8772B10E"/>
    <w:lvl w:ilvl="0">
      <w:start w:val="1"/>
      <w:numFmt w:val="decimal"/>
      <w:lvlText w:val="%1.0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225C7"/>
    <w:multiLevelType w:val="hybridMultilevel"/>
    <w:tmpl w:val="FC5AC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A0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6D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146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4B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27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8AB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C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4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791E92"/>
    <w:multiLevelType w:val="multilevel"/>
    <w:tmpl w:val="63A2C538"/>
    <w:lvl w:ilvl="0">
      <w:start w:val="1"/>
      <w:numFmt w:val="decimal"/>
      <w:lvlText w:val="%1.0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6"/>
  </w:num>
  <w:num w:numId="3">
    <w:abstractNumId w:val="46"/>
  </w:num>
  <w:num w:numId="4">
    <w:abstractNumId w:val="44"/>
  </w:num>
  <w:num w:numId="5">
    <w:abstractNumId w:val="27"/>
  </w:num>
  <w:num w:numId="6">
    <w:abstractNumId w:val="11"/>
  </w:num>
  <w:num w:numId="7">
    <w:abstractNumId w:val="19"/>
  </w:num>
  <w:num w:numId="8">
    <w:abstractNumId w:val="39"/>
  </w:num>
  <w:num w:numId="9">
    <w:abstractNumId w:val="43"/>
  </w:num>
  <w:num w:numId="10">
    <w:abstractNumId w:val="33"/>
  </w:num>
  <w:num w:numId="11">
    <w:abstractNumId w:val="25"/>
  </w:num>
  <w:num w:numId="12">
    <w:abstractNumId w:val="17"/>
  </w:num>
  <w:num w:numId="13">
    <w:abstractNumId w:val="10"/>
  </w:num>
  <w:num w:numId="14">
    <w:abstractNumId w:val="23"/>
  </w:num>
  <w:num w:numId="15">
    <w:abstractNumId w:val="5"/>
  </w:num>
  <w:num w:numId="16">
    <w:abstractNumId w:val="47"/>
  </w:num>
  <w:num w:numId="17">
    <w:abstractNumId w:val="29"/>
  </w:num>
  <w:num w:numId="18">
    <w:abstractNumId w:val="6"/>
  </w:num>
  <w:num w:numId="19">
    <w:abstractNumId w:val="12"/>
  </w:num>
  <w:num w:numId="20">
    <w:abstractNumId w:val="9"/>
  </w:num>
  <w:num w:numId="21">
    <w:abstractNumId w:val="3"/>
  </w:num>
  <w:num w:numId="22">
    <w:abstractNumId w:val="7"/>
  </w:num>
  <w:num w:numId="23">
    <w:abstractNumId w:val="20"/>
  </w:num>
  <w:num w:numId="24">
    <w:abstractNumId w:val="13"/>
  </w:num>
  <w:num w:numId="25">
    <w:abstractNumId w:val="4"/>
  </w:num>
  <w:num w:numId="26">
    <w:abstractNumId w:val="40"/>
  </w:num>
  <w:num w:numId="27">
    <w:abstractNumId w:val="18"/>
  </w:num>
  <w:num w:numId="28">
    <w:abstractNumId w:val="45"/>
  </w:num>
  <w:num w:numId="29">
    <w:abstractNumId w:val="1"/>
  </w:num>
  <w:num w:numId="30">
    <w:abstractNumId w:val="0"/>
  </w:num>
  <w:num w:numId="31">
    <w:abstractNumId w:val="22"/>
  </w:num>
  <w:num w:numId="32">
    <w:abstractNumId w:val="34"/>
  </w:num>
  <w:num w:numId="33">
    <w:abstractNumId w:val="26"/>
  </w:num>
  <w:num w:numId="34">
    <w:abstractNumId w:val="30"/>
  </w:num>
  <w:num w:numId="35">
    <w:abstractNumId w:val="16"/>
  </w:num>
  <w:num w:numId="36">
    <w:abstractNumId w:val="2"/>
  </w:num>
  <w:num w:numId="37">
    <w:abstractNumId w:val="28"/>
  </w:num>
  <w:num w:numId="38">
    <w:abstractNumId w:val="42"/>
  </w:num>
  <w:num w:numId="39">
    <w:abstractNumId w:val="15"/>
  </w:num>
  <w:num w:numId="40">
    <w:abstractNumId w:val="24"/>
  </w:num>
  <w:num w:numId="41">
    <w:abstractNumId w:val="37"/>
  </w:num>
  <w:num w:numId="42">
    <w:abstractNumId w:val="31"/>
  </w:num>
  <w:num w:numId="43">
    <w:abstractNumId w:val="8"/>
  </w:num>
  <w:num w:numId="44">
    <w:abstractNumId w:val="38"/>
  </w:num>
  <w:num w:numId="45">
    <w:abstractNumId w:val="14"/>
  </w:num>
  <w:num w:numId="46">
    <w:abstractNumId w:val="32"/>
  </w:num>
  <w:num w:numId="47">
    <w:abstractNumId w:val="41"/>
  </w:num>
  <w:num w:numId="48">
    <w:abstractNumId w:val="3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31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0220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F2A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921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2CE"/>
    <w:rsid w:val="002A1A48"/>
    <w:rsid w:val="002A1D21"/>
    <w:rsid w:val="002A239B"/>
    <w:rsid w:val="002A30D1"/>
    <w:rsid w:val="002A4CA9"/>
    <w:rsid w:val="002A51A0"/>
    <w:rsid w:val="002A5383"/>
    <w:rsid w:val="002A5D51"/>
    <w:rsid w:val="002A6B70"/>
    <w:rsid w:val="002A7740"/>
    <w:rsid w:val="002A77EA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2BE6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4F6C"/>
    <w:rsid w:val="002E52FF"/>
    <w:rsid w:val="002E6CA4"/>
    <w:rsid w:val="002F07EE"/>
    <w:rsid w:val="002F0D4E"/>
    <w:rsid w:val="002F1354"/>
    <w:rsid w:val="002F1887"/>
    <w:rsid w:val="002F1B2F"/>
    <w:rsid w:val="002F307E"/>
    <w:rsid w:val="002F3CC5"/>
    <w:rsid w:val="002F3E31"/>
    <w:rsid w:val="002F5126"/>
    <w:rsid w:val="002F5133"/>
    <w:rsid w:val="002F53C4"/>
    <w:rsid w:val="002F5EF5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316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3DA"/>
    <w:rsid w:val="00343C39"/>
    <w:rsid w:val="00343EF1"/>
    <w:rsid w:val="00344566"/>
    <w:rsid w:val="00344BFA"/>
    <w:rsid w:val="003456C1"/>
    <w:rsid w:val="00345BDA"/>
    <w:rsid w:val="00345D17"/>
    <w:rsid w:val="00345E9E"/>
    <w:rsid w:val="0034678A"/>
    <w:rsid w:val="00347BB4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5EB8"/>
    <w:rsid w:val="00366914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5B2D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0369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0D7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BA2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7AD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570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169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A14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40A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BE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502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1E6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5E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12A9"/>
    <w:rsid w:val="007F17DD"/>
    <w:rsid w:val="007F247E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15F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24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146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3BBC"/>
    <w:rsid w:val="009F3F1C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EEB"/>
    <w:rsid w:val="00A90B9A"/>
    <w:rsid w:val="00A90EF7"/>
    <w:rsid w:val="00A91023"/>
    <w:rsid w:val="00A9168A"/>
    <w:rsid w:val="00A917C9"/>
    <w:rsid w:val="00A9187B"/>
    <w:rsid w:val="00A918E6"/>
    <w:rsid w:val="00A9244D"/>
    <w:rsid w:val="00A9275E"/>
    <w:rsid w:val="00A93922"/>
    <w:rsid w:val="00A93C91"/>
    <w:rsid w:val="00A93FDE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4445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15E0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5A14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250"/>
    <w:rsid w:val="00B748AC"/>
    <w:rsid w:val="00B74951"/>
    <w:rsid w:val="00B75165"/>
    <w:rsid w:val="00B75EE3"/>
    <w:rsid w:val="00B7624B"/>
    <w:rsid w:val="00B765E6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861"/>
    <w:rsid w:val="00BD1746"/>
    <w:rsid w:val="00BD1CD3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8F2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56B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99C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3A5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0F9F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0470"/>
    <w:rsid w:val="00E31086"/>
    <w:rsid w:val="00E3168A"/>
    <w:rsid w:val="00E32262"/>
    <w:rsid w:val="00E32571"/>
    <w:rsid w:val="00E328C3"/>
    <w:rsid w:val="00E32C87"/>
    <w:rsid w:val="00E337F5"/>
    <w:rsid w:val="00E33BD2"/>
    <w:rsid w:val="00E34033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4160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48A6"/>
    <w:rsid w:val="00E95353"/>
    <w:rsid w:val="00E9660F"/>
    <w:rsid w:val="00E96874"/>
    <w:rsid w:val="00E9693D"/>
    <w:rsid w:val="00E9775C"/>
    <w:rsid w:val="00E97CE4"/>
    <w:rsid w:val="00EA03C0"/>
    <w:rsid w:val="00EA1A0B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B08"/>
    <w:rsid w:val="00EA7DD8"/>
    <w:rsid w:val="00EB0987"/>
    <w:rsid w:val="00EB09BB"/>
    <w:rsid w:val="00EB0FE4"/>
    <w:rsid w:val="00EB1319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4C07"/>
    <w:rsid w:val="00F45463"/>
    <w:rsid w:val="00F45838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4CE2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1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20</cp:revision>
  <cp:lastPrinted>2017-06-09T10:07:00Z</cp:lastPrinted>
  <dcterms:created xsi:type="dcterms:W3CDTF">2016-12-05T08:34:00Z</dcterms:created>
  <dcterms:modified xsi:type="dcterms:W3CDTF">2017-06-17T05:47:00Z</dcterms:modified>
</cp:coreProperties>
</file>