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06" w:rsidRDefault="00530280" w:rsidP="00DD41A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306206" w:rsidRPr="00306206" w:rsidRDefault="00306206" w:rsidP="00DD41A2">
      <w:pPr>
        <w:spacing w:line="360" w:lineRule="auto"/>
        <w:ind w:left="720"/>
        <w:jc w:val="both"/>
        <w:rPr>
          <w:color w:val="000000" w:themeColor="text1"/>
        </w:rPr>
      </w:pPr>
      <w:r w:rsidRPr="00190A17">
        <w:t xml:space="preserve">To describe a procedure for </w:t>
      </w:r>
      <w:r>
        <w:t>EHS training</w:t>
      </w:r>
      <w:r w:rsidRPr="00306206">
        <w:rPr>
          <w:b/>
          <w:color w:val="000000" w:themeColor="text1"/>
        </w:rPr>
        <w:t xml:space="preserve"> </w:t>
      </w:r>
    </w:p>
    <w:p w:rsidR="00BD63D4" w:rsidRDefault="00530280" w:rsidP="00DD41A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D63D4" w:rsidRPr="00BD63D4" w:rsidRDefault="00C3702C" w:rsidP="00DD41A2">
      <w:pPr>
        <w:spacing w:line="360" w:lineRule="auto"/>
        <w:ind w:left="720"/>
        <w:jc w:val="both"/>
        <w:rPr>
          <w:color w:val="000000"/>
        </w:rPr>
      </w:pPr>
      <w:r>
        <w:t xml:space="preserve">This Standard Operating </w:t>
      </w:r>
      <w:r w:rsidR="00C96098">
        <w:t xml:space="preserve">Procedure is applicable </w:t>
      </w:r>
      <w:r w:rsidR="00BD63D4" w:rsidRPr="00365029">
        <w:t xml:space="preserve">to </w:t>
      </w:r>
      <w:r w:rsidR="008966CA">
        <w:t xml:space="preserve">all employees working </w:t>
      </w:r>
      <w:r w:rsidR="00AD47D7">
        <w:t>at Discovery Laboratories</w:t>
      </w:r>
      <w:r w:rsidR="00BD63D4">
        <w:t xml:space="preserve"> pvt.ltd.  </w:t>
      </w:r>
    </w:p>
    <w:p w:rsidR="00BD63D4" w:rsidRPr="00011E6C" w:rsidRDefault="00530280" w:rsidP="00DD41A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</w:pPr>
      <w:r w:rsidRPr="00CF6CB7">
        <w:rPr>
          <w:b/>
          <w:color w:val="000000" w:themeColor="text1"/>
        </w:rPr>
        <w:t>RESPONSIBILITY:</w:t>
      </w:r>
    </w:p>
    <w:p w:rsidR="00BD63D4" w:rsidRDefault="00BD63D4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F849AD" w:rsidRPr="00F849AD" w:rsidRDefault="00F849AD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/>
        </w:rPr>
      </w:pPr>
      <w:r w:rsidRPr="0074555B">
        <w:t xml:space="preserve">It is responsibility of </w:t>
      </w:r>
      <w:r>
        <w:t>EHS</w:t>
      </w:r>
      <w:r w:rsidRPr="0074555B">
        <w:t xml:space="preserve"> Department to </w:t>
      </w:r>
      <w:r w:rsidR="00306206">
        <w:t>implement and educate all employees on safety training</w:t>
      </w:r>
    </w:p>
    <w:p w:rsidR="004F6097" w:rsidRPr="00B00137" w:rsidRDefault="004F6097" w:rsidP="00DD41A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78165E">
        <w:rPr>
          <w:b/>
          <w:caps/>
          <w:color w:val="000000" w:themeColor="text1"/>
        </w:rPr>
        <w:t xml:space="preserve"> Nil</w:t>
      </w:r>
    </w:p>
    <w:p w:rsidR="00306206" w:rsidRDefault="004F6097" w:rsidP="00DD41A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306206" w:rsidRDefault="00306206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306206">
        <w:rPr>
          <w:b/>
        </w:rPr>
        <w:t>Internal programs:</w:t>
      </w:r>
    </w:p>
    <w:p w:rsidR="00306206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 xml:space="preserve">On the job EHS </w:t>
      </w:r>
      <w:r w:rsidRPr="00CE7E1A">
        <w:t>training s</w:t>
      </w:r>
      <w:r>
        <w:t>hall be conducted by EHS executive / in-charge</w:t>
      </w:r>
      <w:r w:rsidRPr="009E33F4">
        <w:t xml:space="preserve"> </w:t>
      </w:r>
      <w:r>
        <w:t xml:space="preserve">and </w:t>
      </w:r>
      <w:r w:rsidRPr="00CE7E1A">
        <w:t>respective</w:t>
      </w:r>
      <w:r>
        <w:rPr>
          <w:b/>
          <w:color w:val="000000" w:themeColor="text1"/>
        </w:rPr>
        <w:t xml:space="preserve"> </w:t>
      </w:r>
      <w:r>
        <w:t>Department in</w:t>
      </w:r>
      <w:r w:rsidRPr="00CE7E1A">
        <w:t xml:space="preserve"> charge</w:t>
      </w:r>
    </w:p>
    <w:p w:rsidR="00306206" w:rsidRDefault="00306206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306206">
        <w:rPr>
          <w:b/>
        </w:rPr>
        <w:t>External programs:</w:t>
      </w:r>
    </w:p>
    <w:p w:rsidR="00306206" w:rsidRPr="00306206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>The</w:t>
      </w:r>
      <w:r w:rsidRPr="00536887">
        <w:t xml:space="preserve"> </w:t>
      </w:r>
      <w:r>
        <w:t>EHS</w:t>
      </w:r>
      <w:r w:rsidRPr="00536887">
        <w:t xml:space="preserve"> department</w:t>
      </w:r>
      <w:r>
        <w:t xml:space="preserve"> in co-ordination with HR department shal</w:t>
      </w:r>
      <w:r w:rsidR="00396FFD">
        <w:t>l engage a suitable Consultant/</w:t>
      </w:r>
      <w:r>
        <w:t>i</w:t>
      </w:r>
      <w:r w:rsidRPr="00536887">
        <w:t xml:space="preserve">nstitution to conduct </w:t>
      </w:r>
      <w:r>
        <w:t>safety</w:t>
      </w:r>
      <w:r w:rsidRPr="00536887">
        <w:t xml:space="preserve">, health </w:t>
      </w:r>
      <w:r>
        <w:t xml:space="preserve">and environment training </w:t>
      </w:r>
      <w:r w:rsidRPr="00536887">
        <w:t>program</w:t>
      </w:r>
      <w:r>
        <w:t>s</w:t>
      </w:r>
      <w:r w:rsidRPr="00536887">
        <w:t xml:space="preserve"> </w:t>
      </w:r>
      <w:r w:rsidR="00396FFD">
        <w:t xml:space="preserve">as </w:t>
      </w:r>
      <w:r w:rsidRPr="00536887">
        <w:t xml:space="preserve">and </w:t>
      </w:r>
      <w:r w:rsidR="00396FFD">
        <w:t>w</w:t>
      </w:r>
      <w:r w:rsidRPr="00536887">
        <w:t>hen required.</w:t>
      </w:r>
    </w:p>
    <w:p w:rsidR="00306206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>EHS</w:t>
      </w:r>
      <w:r w:rsidRPr="00536887">
        <w:t xml:space="preserve"> depa</w:t>
      </w:r>
      <w:r>
        <w:t>rtment shall coordinate with HR department</w:t>
      </w:r>
      <w:r w:rsidRPr="00536887">
        <w:t xml:space="preserve"> and nominate employee/s to the</w:t>
      </w:r>
      <w:r>
        <w:t xml:space="preserve"> External</w:t>
      </w:r>
      <w:r w:rsidRPr="00536887">
        <w:t xml:space="preserve"> training programs conducted at various places.</w:t>
      </w:r>
    </w:p>
    <w:p w:rsidR="00306206" w:rsidRDefault="00306206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306206">
        <w:rPr>
          <w:b/>
        </w:rPr>
        <w:t>New Recruits:</w:t>
      </w:r>
    </w:p>
    <w:p w:rsidR="00DD41A2" w:rsidRPr="0053676D" w:rsidRDefault="00306206" w:rsidP="0053676D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>All</w:t>
      </w:r>
      <w:r w:rsidRPr="00536887">
        <w:t xml:space="preserve"> the new recruits</w:t>
      </w:r>
      <w:r>
        <w:t xml:space="preserve"> (Induction training)</w:t>
      </w:r>
      <w:r w:rsidRPr="00536887">
        <w:t xml:space="preserve"> shall be trained on </w:t>
      </w:r>
      <w:r>
        <w:t xml:space="preserve">EHS systems </w:t>
      </w:r>
      <w:r w:rsidRPr="00536887">
        <w:t xml:space="preserve">on the second </w:t>
      </w:r>
      <w:r>
        <w:t>d</w:t>
      </w:r>
      <w:r w:rsidRPr="00536887">
        <w:t>ay of their joining</w:t>
      </w:r>
      <w:r w:rsidR="00396FFD">
        <w:t xml:space="preserve"> f</w:t>
      </w:r>
      <w:r w:rsidRPr="00536887">
        <w:t>or one full da</w:t>
      </w:r>
      <w:r>
        <w:t xml:space="preserve">y.  </w:t>
      </w:r>
    </w:p>
    <w:p w:rsidR="00306206" w:rsidRDefault="00306206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306206">
        <w:rPr>
          <w:b/>
        </w:rPr>
        <w:t xml:space="preserve">Retraining for regular employees &amp; trainees:   </w:t>
      </w:r>
    </w:p>
    <w:p w:rsidR="00306206" w:rsidRPr="00306206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536887">
        <w:t>All</w:t>
      </w:r>
      <w:r>
        <w:t xml:space="preserve"> employees are retrained as per functional training schedule</w:t>
      </w:r>
      <w:r w:rsidRPr="00536887">
        <w:t xml:space="preserve"> on</w:t>
      </w:r>
      <w:r>
        <w:t xml:space="preserve"> EHS </w:t>
      </w:r>
      <w:r w:rsidRPr="00536887">
        <w:t>systems.</w:t>
      </w:r>
    </w:p>
    <w:p w:rsidR="00306206" w:rsidRPr="00306206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536887">
        <w:lastRenderedPageBreak/>
        <w:t xml:space="preserve">Training evaluation shall be assessed by written </w:t>
      </w:r>
      <w:r>
        <w:t xml:space="preserve">/ oral means, at the end of </w:t>
      </w:r>
      <w:r w:rsidRPr="00536887">
        <w:t xml:space="preserve">session.  </w:t>
      </w:r>
    </w:p>
    <w:p w:rsidR="00306206" w:rsidRDefault="00306206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306206">
        <w:rPr>
          <w:b/>
        </w:rPr>
        <w:t>Training for contract workers:</w:t>
      </w:r>
    </w:p>
    <w:p w:rsidR="00306206" w:rsidRPr="00306206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6D2220">
        <w:t xml:space="preserve">New contract worker/s on the first day will be given a brief on </w:t>
      </w:r>
      <w:r>
        <w:t xml:space="preserve">EHS </w:t>
      </w:r>
      <w:r w:rsidRPr="006D2220">
        <w:t xml:space="preserve">related Do’s &amp; </w:t>
      </w:r>
      <w:r>
        <w:t xml:space="preserve"> </w:t>
      </w:r>
      <w:r w:rsidRPr="006D2220">
        <w:t>Don’ts.</w:t>
      </w:r>
    </w:p>
    <w:p w:rsidR="00306206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>All</w:t>
      </w:r>
      <w:r w:rsidRPr="006D2220">
        <w:t xml:space="preserve"> the workers shall be retrained as per</w:t>
      </w:r>
      <w:r w:rsidRPr="00DA2A6F">
        <w:t xml:space="preserve"> </w:t>
      </w:r>
      <w:r>
        <w:t>functional training schedule</w:t>
      </w:r>
      <w:r w:rsidRPr="006D2220">
        <w:t xml:space="preserve"> </w:t>
      </w:r>
      <w:r>
        <w:t>on the EHS</w:t>
      </w:r>
      <w:r>
        <w:rPr>
          <w:b/>
          <w:color w:val="000000" w:themeColor="text1"/>
        </w:rPr>
        <w:t xml:space="preserve"> </w:t>
      </w:r>
      <w:r>
        <w:t>Systems</w:t>
      </w:r>
      <w:r w:rsidRPr="006D2220">
        <w:t xml:space="preserve"> </w:t>
      </w:r>
    </w:p>
    <w:p w:rsidR="00306206" w:rsidRPr="00DD41A2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6D2220">
        <w:t xml:space="preserve">Training evaluation shall be performed by oral test.   </w:t>
      </w:r>
    </w:p>
    <w:p w:rsidR="00306206" w:rsidRDefault="00306206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306206">
        <w:rPr>
          <w:b/>
        </w:rPr>
        <w:t>Functional training schedule:</w:t>
      </w:r>
    </w:p>
    <w:p w:rsidR="00306206" w:rsidRPr="00BF795C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3A2373">
        <w:t xml:space="preserve">The topics for the </w:t>
      </w:r>
      <w:r>
        <w:t>functional training schedule</w:t>
      </w:r>
      <w:r w:rsidRPr="003A2373">
        <w:t xml:space="preserve"> shall be identified by the </w:t>
      </w:r>
      <w:r>
        <w:t>EHS Department</w:t>
      </w:r>
      <w:r w:rsidRPr="003A2373">
        <w:t xml:space="preserve"> and</w:t>
      </w:r>
      <w:r>
        <w:t xml:space="preserve"> i</w:t>
      </w:r>
      <w:r w:rsidRPr="003A2373">
        <w:t xml:space="preserve">t shall be reviewed by </w:t>
      </w:r>
      <w:r>
        <w:t>EHS</w:t>
      </w:r>
      <w:r w:rsidRPr="003A2373">
        <w:t xml:space="preserve"> Committ</w:t>
      </w:r>
      <w:r>
        <w:t>ee for necessary modifications.</w:t>
      </w:r>
    </w:p>
    <w:p w:rsidR="00306206" w:rsidRPr="00BF795C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 xml:space="preserve">EHS Committee members </w:t>
      </w:r>
      <w:r w:rsidRPr="003A2373">
        <w:t xml:space="preserve">who are representatives of staff &amp; workers shall contribute </w:t>
      </w:r>
      <w:r w:rsidR="00396FFD">
        <w:t>s</w:t>
      </w:r>
      <w:r>
        <w:t>uggestions</w:t>
      </w:r>
      <w:r w:rsidRPr="003A2373">
        <w:t xml:space="preserve"> keeping in view</w:t>
      </w:r>
      <w:r>
        <w:t xml:space="preserve"> of training needs of employees</w:t>
      </w:r>
    </w:p>
    <w:p w:rsidR="00306206" w:rsidRPr="00D263E0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>EHS</w:t>
      </w:r>
      <w:r w:rsidRPr="003A2373">
        <w:t xml:space="preserve"> department shall distribute </w:t>
      </w:r>
      <w:r>
        <w:t>functional training schedule</w:t>
      </w:r>
      <w:r w:rsidRPr="003A2373">
        <w:t xml:space="preserve"> to all departments.</w:t>
      </w:r>
    </w:p>
    <w:p w:rsidR="00D263E0" w:rsidRPr="00BF795C" w:rsidRDefault="00D263E0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 xml:space="preserve">EHS Department Shall will conduct </w:t>
      </w:r>
      <w:r w:rsidR="00E73E43">
        <w:t xml:space="preserve">training sessions to all the ERT members </w:t>
      </w:r>
    </w:p>
    <w:p w:rsidR="00BF795C" w:rsidRDefault="00306206" w:rsidP="00DD41A2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BF795C">
        <w:rPr>
          <w:b/>
        </w:rPr>
        <w:t>Training record  :</w:t>
      </w:r>
    </w:p>
    <w:p w:rsidR="00FD2B95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t>EHS</w:t>
      </w:r>
      <w:r w:rsidRPr="003A2373">
        <w:t xml:space="preserve"> department shall m</w:t>
      </w:r>
      <w:r>
        <w:t>aintain a record that compose</w:t>
      </w:r>
      <w:r w:rsidRPr="003A2373">
        <w:t xml:space="preserve"> list of participants, comments</w:t>
      </w:r>
      <w:r w:rsidR="00BF795C">
        <w:t xml:space="preserve"> </w:t>
      </w:r>
      <w:r>
        <w:t>o</w:t>
      </w:r>
      <w:r w:rsidRPr="003A2373">
        <w:t>f</w:t>
      </w:r>
      <w:r>
        <w:t xml:space="preserve"> t</w:t>
      </w:r>
      <w:r w:rsidRPr="003A2373">
        <w:t>rainer etc.</w:t>
      </w:r>
    </w:p>
    <w:p w:rsidR="00306206" w:rsidRPr="00FD2B95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3A2373">
        <w:t>The</w:t>
      </w:r>
      <w:r>
        <w:t xml:space="preserve"> EHS</w:t>
      </w:r>
      <w:r w:rsidRPr="003A2373">
        <w:t xml:space="preserve"> department shall announce the agenda of the training program in</w:t>
      </w:r>
      <w:r>
        <w:t xml:space="preserve"> </w:t>
      </w:r>
      <w:r w:rsidRPr="003A2373">
        <w:t xml:space="preserve">case of </w:t>
      </w:r>
      <w:r>
        <w:t>External programs in advance</w:t>
      </w:r>
    </w:p>
    <w:p w:rsidR="00FD2B95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3A2373">
        <w:t>Additional sessions may be held on the</w:t>
      </w:r>
      <w:r>
        <w:t xml:space="preserve"> discretion of EHS In-charge/executive</w:t>
      </w:r>
    </w:p>
    <w:p w:rsidR="00D263E0" w:rsidRPr="0053676D" w:rsidRDefault="00306206" w:rsidP="00DD41A2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>
        <w:lastRenderedPageBreak/>
        <w:t>EHS</w:t>
      </w:r>
      <w:r w:rsidRPr="003A2373">
        <w:t xml:space="preserve"> department may utilize In-house experts for on the job </w:t>
      </w:r>
      <w:r>
        <w:t>EHS</w:t>
      </w:r>
      <w:r w:rsidRPr="003A2373">
        <w:t xml:space="preserve"> training.</w:t>
      </w:r>
    </w:p>
    <w:p w:rsidR="0053676D" w:rsidRPr="00D263E0" w:rsidRDefault="0053676D" w:rsidP="0053676D">
      <w:pPr>
        <w:spacing w:line="360" w:lineRule="auto"/>
        <w:ind w:left="720"/>
        <w:jc w:val="both"/>
        <w:rPr>
          <w:b/>
          <w:color w:val="000000" w:themeColor="text1"/>
        </w:rPr>
      </w:pPr>
      <w:r w:rsidRPr="0053676D">
        <w:rPr>
          <w:b/>
        </w:rPr>
        <w:t>5.8</w:t>
      </w:r>
      <w:r>
        <w:t xml:space="preserve">   List of Training topics were p</w:t>
      </w:r>
      <w:r w:rsidR="00F41142">
        <w:t>repared and maintained separately</w:t>
      </w:r>
      <w:r>
        <w:t xml:space="preserve"> and will be updated as per requirement.</w:t>
      </w:r>
    </w:p>
    <w:p w:rsidR="0029471F" w:rsidRDefault="004F6097" w:rsidP="00DD41A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AE14EB" w:rsidRPr="00B00137" w:rsidRDefault="004F6097" w:rsidP="00DD41A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8910" w:type="dxa"/>
        <w:tblInd w:w="-432" w:type="dxa"/>
        <w:tblLayout w:type="fixed"/>
        <w:tblLook w:val="04A0"/>
      </w:tblPr>
      <w:tblGrid>
        <w:gridCol w:w="1170"/>
        <w:gridCol w:w="1450"/>
        <w:gridCol w:w="4220"/>
        <w:gridCol w:w="2070"/>
      </w:tblGrid>
      <w:tr w:rsidR="00E73E43" w:rsidRPr="00B00137" w:rsidTr="00E73E43">
        <w:trPr>
          <w:trHeight w:val="374"/>
          <w:tblHeader/>
        </w:trPr>
        <w:tc>
          <w:tcPr>
            <w:tcW w:w="1170" w:type="dxa"/>
            <w:vAlign w:val="center"/>
          </w:tcPr>
          <w:p w:rsidR="00E73E43" w:rsidRPr="00B00137" w:rsidRDefault="00E73E43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E73E43" w:rsidRPr="00B00137" w:rsidRDefault="00E73E43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220" w:type="dxa"/>
            <w:vAlign w:val="center"/>
          </w:tcPr>
          <w:p w:rsidR="00E73E43" w:rsidRPr="00B00137" w:rsidRDefault="00E73E43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070" w:type="dxa"/>
            <w:vAlign w:val="center"/>
          </w:tcPr>
          <w:p w:rsidR="00E73E43" w:rsidRPr="007D3F91" w:rsidRDefault="00E73E43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E73E43" w:rsidRPr="00B00137" w:rsidTr="00E73E43">
        <w:trPr>
          <w:trHeight w:val="683"/>
        </w:trPr>
        <w:tc>
          <w:tcPr>
            <w:tcW w:w="1170" w:type="dxa"/>
          </w:tcPr>
          <w:p w:rsidR="00E73E43" w:rsidRPr="00B00137" w:rsidRDefault="00E73E43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E73E43" w:rsidRPr="00B00137" w:rsidRDefault="00E73E43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4220" w:type="dxa"/>
          </w:tcPr>
          <w:p w:rsidR="00E73E43" w:rsidRPr="00B00137" w:rsidRDefault="00E73E43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070" w:type="dxa"/>
          </w:tcPr>
          <w:p w:rsidR="00E73E43" w:rsidRPr="00B00137" w:rsidRDefault="00E73E43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E73E43" w:rsidRPr="00B00137" w:rsidTr="00E73E43">
        <w:trPr>
          <w:trHeight w:val="374"/>
        </w:trPr>
        <w:tc>
          <w:tcPr>
            <w:tcW w:w="1170" w:type="dxa"/>
          </w:tcPr>
          <w:p w:rsidR="00E73E43" w:rsidRPr="00B00137" w:rsidRDefault="00E73E43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E73E43" w:rsidRPr="00B00137" w:rsidRDefault="00E73E43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20" w:type="dxa"/>
            <w:vAlign w:val="center"/>
          </w:tcPr>
          <w:p w:rsidR="00E73E43" w:rsidRPr="00183F1F" w:rsidRDefault="00E73E43" w:rsidP="00183F1F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t>Revised as per current SOP &amp; more clear and clarity and training calendar replace with functional training schedule.</w:t>
            </w:r>
          </w:p>
        </w:tc>
        <w:tc>
          <w:tcPr>
            <w:tcW w:w="2070" w:type="dxa"/>
          </w:tcPr>
          <w:p w:rsidR="00E73E43" w:rsidRDefault="00E73E43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E73E43" w:rsidRPr="007D3F91" w:rsidRDefault="00E73E43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E73E43" w:rsidRPr="00B00137" w:rsidTr="00E73E43">
        <w:trPr>
          <w:trHeight w:val="374"/>
        </w:trPr>
        <w:tc>
          <w:tcPr>
            <w:tcW w:w="1170" w:type="dxa"/>
          </w:tcPr>
          <w:p w:rsidR="00E73E43" w:rsidRPr="00B00137" w:rsidRDefault="00E73E43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E73E43" w:rsidRPr="00B00137" w:rsidRDefault="00E73E43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20" w:type="dxa"/>
            <w:vAlign w:val="center"/>
          </w:tcPr>
          <w:p w:rsidR="00E73E43" w:rsidRPr="00183F1F" w:rsidRDefault="00E73E43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E73E43" w:rsidRPr="00183F1F" w:rsidRDefault="00E73E43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2070" w:type="dxa"/>
          </w:tcPr>
          <w:p w:rsidR="00E73E43" w:rsidRDefault="00E73E43" w:rsidP="00657411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A875FF" w:rsidRDefault="00A875FF" w:rsidP="004A7468">
      <w:pPr>
        <w:rPr>
          <w:color w:val="000000" w:themeColor="text1"/>
        </w:rPr>
      </w:pPr>
    </w:p>
    <w:p w:rsidR="00A875FF" w:rsidRPr="00A875FF" w:rsidRDefault="00A875FF" w:rsidP="00A875FF"/>
    <w:p w:rsidR="00A875FF" w:rsidRPr="00A875FF" w:rsidRDefault="00A875FF" w:rsidP="00A875FF"/>
    <w:p w:rsidR="00A875FF" w:rsidRPr="00A875FF" w:rsidRDefault="00A875FF" w:rsidP="00A875FF"/>
    <w:p w:rsidR="00A875FF" w:rsidRDefault="00A875FF" w:rsidP="00A875FF"/>
    <w:p w:rsidR="009D6DB8" w:rsidRPr="00A875FF" w:rsidRDefault="009D6DB8" w:rsidP="00A875FF">
      <w:pPr>
        <w:jc w:val="right"/>
      </w:pPr>
    </w:p>
    <w:sectPr w:rsidR="009D6DB8" w:rsidRPr="00A875FF" w:rsidSect="00D26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E95" w:rsidRDefault="00B83E95">
      <w:r>
        <w:separator/>
      </w:r>
    </w:p>
  </w:endnote>
  <w:endnote w:type="continuationSeparator" w:id="1">
    <w:p w:rsidR="00B83E95" w:rsidRDefault="00B8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B65" w:rsidRDefault="00292B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29058A">
      <w:trPr>
        <w:trHeight w:val="648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396FFD" w:rsidRPr="00E90738" w:rsidTr="003257BD">
      <w:trPr>
        <w:trHeight w:val="374"/>
      </w:trPr>
      <w:tc>
        <w:tcPr>
          <w:tcW w:w="1926" w:type="dxa"/>
          <w:vAlign w:val="center"/>
        </w:tcPr>
        <w:p w:rsidR="00396FFD" w:rsidRPr="0029058A" w:rsidRDefault="00396FFD" w:rsidP="003257BD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396FFD" w:rsidRPr="0029058A" w:rsidRDefault="00657411" w:rsidP="003257BD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09" w:type="dxa"/>
          <w:vAlign w:val="center"/>
        </w:tcPr>
        <w:p w:rsidR="00396FFD" w:rsidRPr="0029058A" w:rsidRDefault="005771E1" w:rsidP="00100BE5">
          <w:pPr>
            <w:jc w:val="center"/>
          </w:pPr>
          <w:r>
            <w:t xml:space="preserve">M. </w:t>
          </w:r>
          <w:r w:rsidR="00100BE5">
            <w:t>Ramesh</w:t>
          </w:r>
        </w:p>
      </w:tc>
      <w:tc>
        <w:tcPr>
          <w:tcW w:w="3023" w:type="dxa"/>
          <w:vAlign w:val="center"/>
        </w:tcPr>
        <w:p w:rsidR="00396FFD" w:rsidRPr="0029058A" w:rsidRDefault="00A875FF" w:rsidP="003257BD">
          <w:pPr>
            <w:jc w:val="center"/>
          </w:pPr>
          <w:r>
            <w:t>Ch. Mahendar Reddy</w:t>
          </w:r>
        </w:p>
      </w:tc>
    </w:tr>
    <w:tr w:rsidR="00396FFD" w:rsidRPr="00E90738" w:rsidTr="003257BD">
      <w:trPr>
        <w:trHeight w:val="374"/>
      </w:trPr>
      <w:tc>
        <w:tcPr>
          <w:tcW w:w="1926" w:type="dxa"/>
          <w:vAlign w:val="center"/>
        </w:tcPr>
        <w:p w:rsidR="00396FFD" w:rsidRPr="0029058A" w:rsidRDefault="00396FFD" w:rsidP="003257BD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396FFD" w:rsidRPr="0029058A" w:rsidRDefault="00396FFD" w:rsidP="003257BD">
          <w:pPr>
            <w:jc w:val="center"/>
          </w:pPr>
          <w:r>
            <w:t>EHS</w:t>
          </w:r>
        </w:p>
      </w:tc>
      <w:tc>
        <w:tcPr>
          <w:tcW w:w="2909" w:type="dxa"/>
          <w:vAlign w:val="center"/>
        </w:tcPr>
        <w:p w:rsidR="00396FFD" w:rsidRPr="0029058A" w:rsidRDefault="00100BE5" w:rsidP="003257BD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396FFD" w:rsidRPr="0029058A" w:rsidRDefault="00396FFD" w:rsidP="003257BD">
          <w:pPr>
            <w:jc w:val="center"/>
          </w:pPr>
          <w:r w:rsidRPr="0029058A">
            <w:t>Quality Assurance</w:t>
          </w:r>
        </w:p>
      </w:tc>
    </w:tr>
  </w:tbl>
  <w:p w:rsidR="005251EA" w:rsidRPr="00396FFD" w:rsidRDefault="00D263E0" w:rsidP="00396FFD">
    <w:pPr>
      <w:pStyle w:val="Footer"/>
      <w:ind w:left="-810"/>
    </w:pPr>
    <w:r>
      <w:t>QA001-FM139-01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E95" w:rsidRDefault="00B83E95">
      <w:r>
        <w:separator/>
      </w:r>
    </w:p>
  </w:footnote>
  <w:footnote w:type="continuationSeparator" w:id="1">
    <w:p w:rsidR="00B83E95" w:rsidRDefault="00B83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B65" w:rsidRDefault="00292B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60"/>
      <w:gridCol w:w="1890"/>
      <w:gridCol w:w="2700"/>
      <w:gridCol w:w="2070"/>
      <w:gridCol w:w="1836"/>
    </w:tblGrid>
    <w:tr w:rsidR="00C3702C" w:rsidRPr="007D7C90" w:rsidTr="00292B65">
      <w:trPr>
        <w:cantSplit/>
        <w:trHeight w:val="253"/>
      </w:trPr>
      <w:tc>
        <w:tcPr>
          <w:tcW w:w="2160" w:type="dxa"/>
          <w:vMerge w:val="restart"/>
          <w:vAlign w:val="center"/>
        </w:tcPr>
        <w:p w:rsidR="00C3702C" w:rsidRPr="007D7C90" w:rsidRDefault="00AD47D7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D47D7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123950" cy="457200"/>
                <wp:effectExtent l="1905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4471" cy="457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6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292B65">
      <w:trPr>
        <w:cantSplit/>
        <w:trHeight w:val="343"/>
      </w:trPr>
      <w:tc>
        <w:tcPr>
          <w:tcW w:w="2160" w:type="dxa"/>
          <w:vMerge/>
          <w:vAlign w:val="center"/>
        </w:tcPr>
        <w:p w:rsidR="005251EA" w:rsidRPr="007D7C90" w:rsidRDefault="005251EA" w:rsidP="006E21D7"/>
      </w:tc>
      <w:tc>
        <w:tcPr>
          <w:tcW w:w="1890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5251EA" w:rsidRPr="007D7C90" w:rsidRDefault="005251EA" w:rsidP="00306206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-00</w:t>
          </w:r>
          <w:r w:rsidR="00306206">
            <w:t>8</w:t>
          </w:r>
          <w:r w:rsidRPr="007D7C90">
            <w:t>-0</w:t>
          </w:r>
          <w:r w:rsidR="009936B4">
            <w:t>2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292B65">
      <w:trPr>
        <w:cantSplit/>
        <w:trHeight w:val="325"/>
      </w:trPr>
      <w:tc>
        <w:tcPr>
          <w:tcW w:w="2160" w:type="dxa"/>
          <w:vMerge/>
          <w:vAlign w:val="center"/>
        </w:tcPr>
        <w:p w:rsidR="005251EA" w:rsidRPr="007D7C90" w:rsidRDefault="005251EA" w:rsidP="006E21D7"/>
      </w:tc>
      <w:tc>
        <w:tcPr>
          <w:tcW w:w="1890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5251EA" w:rsidRPr="007D7C90" w:rsidRDefault="00657A51" w:rsidP="00306206">
          <w:r>
            <w:t>EHS</w:t>
          </w:r>
          <w:r w:rsidR="009936B4">
            <w:t>-</w:t>
          </w:r>
          <w:r w:rsidR="005251EA" w:rsidRPr="007D7C90">
            <w:t>00</w:t>
          </w:r>
          <w:r w:rsidR="00306206">
            <w:t>8</w:t>
          </w:r>
          <w:r w:rsidR="005251EA" w:rsidRPr="007D7C90">
            <w:t>-0</w:t>
          </w:r>
          <w:r w:rsidR="009936B4">
            <w:t>1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292B65">
      <w:trPr>
        <w:cantSplit/>
        <w:trHeight w:val="127"/>
      </w:trPr>
      <w:tc>
        <w:tcPr>
          <w:tcW w:w="2160" w:type="dxa"/>
          <w:vMerge/>
          <w:vAlign w:val="center"/>
        </w:tcPr>
        <w:p w:rsidR="005251EA" w:rsidRPr="007D7C90" w:rsidRDefault="005251EA" w:rsidP="006E21D7"/>
      </w:tc>
      <w:tc>
        <w:tcPr>
          <w:tcW w:w="1890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51EA" w:rsidRPr="007D7C90" w:rsidRDefault="00893D9C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F41142">
            <w:rPr>
              <w:noProof/>
            </w:rPr>
            <w:t>3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F41142">
            <w:rPr>
              <w:noProof/>
            </w:rPr>
            <w:t>3</w:t>
          </w:r>
          <w:r w:rsidRPr="007D7C90">
            <w:fldChar w:fldCharType="end"/>
          </w:r>
        </w:p>
      </w:tc>
    </w:tr>
    <w:tr w:rsidR="005251EA" w:rsidRPr="007D7C90" w:rsidTr="00292B65">
      <w:trPr>
        <w:cantSplit/>
        <w:trHeight w:val="325"/>
      </w:trPr>
      <w:tc>
        <w:tcPr>
          <w:tcW w:w="10656" w:type="dxa"/>
          <w:gridSpan w:val="5"/>
          <w:vAlign w:val="center"/>
        </w:tcPr>
        <w:p w:rsidR="005251EA" w:rsidRPr="007D7C90" w:rsidRDefault="005251EA" w:rsidP="00553882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306206">
            <w:rPr>
              <w:b/>
            </w:rPr>
            <w:t>SAFETY TRAINING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893D9C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C45B3F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34F4D"/>
    <w:multiLevelType w:val="multilevel"/>
    <w:tmpl w:val="0936C182"/>
    <w:lvl w:ilvl="0">
      <w:start w:val="6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5CBD0581"/>
    <w:multiLevelType w:val="multilevel"/>
    <w:tmpl w:val="FF783A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1800"/>
      </w:pPr>
      <w:rPr>
        <w:rFonts w:hint="default"/>
      </w:rPr>
    </w:lvl>
  </w:abstractNum>
  <w:abstractNum w:abstractNumId="2">
    <w:nsid w:val="675B5F3E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">
    <w:nsid w:val="770267B8"/>
    <w:multiLevelType w:val="multilevel"/>
    <w:tmpl w:val="AFD875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60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1E6C"/>
    <w:rsid w:val="00012892"/>
    <w:rsid w:val="00012C6A"/>
    <w:rsid w:val="00014E93"/>
    <w:rsid w:val="000154A7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5A60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0BE5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3299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0A42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20B9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357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719AA"/>
    <w:rsid w:val="002721D3"/>
    <w:rsid w:val="00272E85"/>
    <w:rsid w:val="00274A3B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2B65"/>
    <w:rsid w:val="002930D6"/>
    <w:rsid w:val="00294065"/>
    <w:rsid w:val="00294612"/>
    <w:rsid w:val="0029471F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293B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354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206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2881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842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AEF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6FFD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9DB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0369"/>
    <w:rsid w:val="00410DC7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577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2BDE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302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5B2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48B2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676D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388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771E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2F2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A6E"/>
    <w:rsid w:val="005B6A5C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7AD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07F36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6D67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41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52F3"/>
    <w:rsid w:val="006764BB"/>
    <w:rsid w:val="00676E61"/>
    <w:rsid w:val="006776E4"/>
    <w:rsid w:val="00680ADA"/>
    <w:rsid w:val="00680CC2"/>
    <w:rsid w:val="006813AF"/>
    <w:rsid w:val="006826F9"/>
    <w:rsid w:val="00682D86"/>
    <w:rsid w:val="0068331D"/>
    <w:rsid w:val="0068378B"/>
    <w:rsid w:val="006839EF"/>
    <w:rsid w:val="006842A2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2CE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046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0B42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87169"/>
    <w:rsid w:val="0079003F"/>
    <w:rsid w:val="00790263"/>
    <w:rsid w:val="00790400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17DD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39A0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3D9C"/>
    <w:rsid w:val="00894B15"/>
    <w:rsid w:val="008950AE"/>
    <w:rsid w:val="0089607F"/>
    <w:rsid w:val="008966CA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6992"/>
    <w:rsid w:val="008A728B"/>
    <w:rsid w:val="008A747E"/>
    <w:rsid w:val="008B013B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3D1F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22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2B7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5FF"/>
    <w:rsid w:val="00A87EEB"/>
    <w:rsid w:val="00A90B9A"/>
    <w:rsid w:val="00A90EF7"/>
    <w:rsid w:val="00A91023"/>
    <w:rsid w:val="00A9168A"/>
    <w:rsid w:val="00A917C9"/>
    <w:rsid w:val="00A9187B"/>
    <w:rsid w:val="00A918E6"/>
    <w:rsid w:val="00A91EBE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7D7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21B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4AA3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51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7737F"/>
    <w:rsid w:val="00B800A1"/>
    <w:rsid w:val="00B8137E"/>
    <w:rsid w:val="00B81571"/>
    <w:rsid w:val="00B822FC"/>
    <w:rsid w:val="00B82638"/>
    <w:rsid w:val="00B826C5"/>
    <w:rsid w:val="00B83E95"/>
    <w:rsid w:val="00B845D3"/>
    <w:rsid w:val="00B8473A"/>
    <w:rsid w:val="00B84AE3"/>
    <w:rsid w:val="00B84DB1"/>
    <w:rsid w:val="00B86EC2"/>
    <w:rsid w:val="00B872D4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F2B"/>
    <w:rsid w:val="00BB18D2"/>
    <w:rsid w:val="00BB235B"/>
    <w:rsid w:val="00BB24E8"/>
    <w:rsid w:val="00BB2C33"/>
    <w:rsid w:val="00BB31B6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311A"/>
    <w:rsid w:val="00BD35DF"/>
    <w:rsid w:val="00BD3EC2"/>
    <w:rsid w:val="00BD41A5"/>
    <w:rsid w:val="00BD43C0"/>
    <w:rsid w:val="00BD4D29"/>
    <w:rsid w:val="00BD63D4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95C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29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5B3F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4E0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100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3E0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A40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0F9F"/>
    <w:rsid w:val="00DD1D04"/>
    <w:rsid w:val="00DD36C2"/>
    <w:rsid w:val="00DD41A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42D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4D7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4037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9FA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3E43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48A6"/>
    <w:rsid w:val="00E95353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369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27B3C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847"/>
    <w:rsid w:val="00F4092E"/>
    <w:rsid w:val="00F40F63"/>
    <w:rsid w:val="00F41142"/>
    <w:rsid w:val="00F4153B"/>
    <w:rsid w:val="00F425C6"/>
    <w:rsid w:val="00F434FC"/>
    <w:rsid w:val="00F44C07"/>
    <w:rsid w:val="00F45463"/>
    <w:rsid w:val="00F45D88"/>
    <w:rsid w:val="00F46619"/>
    <w:rsid w:val="00F47246"/>
    <w:rsid w:val="00F500BC"/>
    <w:rsid w:val="00F50BC9"/>
    <w:rsid w:val="00F51B5A"/>
    <w:rsid w:val="00F52A7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9AD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2B95"/>
    <w:rsid w:val="00FD3DBD"/>
    <w:rsid w:val="00FD53BD"/>
    <w:rsid w:val="00FD7025"/>
    <w:rsid w:val="00FD7E8E"/>
    <w:rsid w:val="00FE1D6E"/>
    <w:rsid w:val="00FE2383"/>
    <w:rsid w:val="00FE23F4"/>
    <w:rsid w:val="00FE3017"/>
    <w:rsid w:val="00FE3336"/>
    <w:rsid w:val="00FE3D63"/>
    <w:rsid w:val="00FE61E5"/>
    <w:rsid w:val="00FE68A9"/>
    <w:rsid w:val="00FE6DFC"/>
    <w:rsid w:val="00FF12DB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60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BD63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D63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47573-6010-44C5-BC15-B018565C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22</cp:revision>
  <cp:lastPrinted>2017-06-09T10:22:00Z</cp:lastPrinted>
  <dcterms:created xsi:type="dcterms:W3CDTF">2016-12-08T07:22:00Z</dcterms:created>
  <dcterms:modified xsi:type="dcterms:W3CDTF">2017-06-20T09:23:00Z</dcterms:modified>
</cp:coreProperties>
</file>