
<file path=[Content_Types].xml><?xml version="1.0" encoding="utf-8"?>
<Types xmlns="http://schemas.openxmlformats.org/package/2006/content-types">
  <Default Extension="xml" ContentType="application/xml"/>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720"/>
        </w:tabs>
        <w:spacing w:line="360" w:lineRule="auto"/>
        <w:jc w:val="both"/>
        <w:rPr>
          <w:color w:val="000000" w:themeColor="text1"/>
        </w:rPr>
      </w:pPr>
      <w:bookmarkStart w:id="0" w:name="_GoBack"/>
      <w:bookmarkEnd w:id="0"/>
      <w:r>
        <w:rPr>
          <w:b/>
          <w:color w:val="000000" w:themeColor="text1"/>
        </w:rPr>
        <w:t>PURPOSE:</w:t>
      </w:r>
      <w:r>
        <w:rPr>
          <w:color w:val="000000" w:themeColor="text1"/>
        </w:rPr>
        <w:t xml:space="preserve"> </w:t>
      </w:r>
    </w:p>
    <w:p>
      <w:pPr>
        <w:spacing w:line="360" w:lineRule="auto"/>
        <w:ind w:left="720"/>
        <w:jc w:val="both"/>
        <w:rPr>
          <w:color w:val="000000" w:themeColor="text1"/>
        </w:rPr>
      </w:pPr>
      <w:r>
        <w:rPr>
          <w:color w:val="000000" w:themeColor="text1"/>
        </w:rPr>
        <w:t xml:space="preserve">To lay down the Procedure for </w:t>
      </w:r>
      <w:r>
        <w:t>medical checkup for all employees working in the organization</w:t>
      </w:r>
      <w:r>
        <w:rPr>
          <w:color w:val="000000" w:themeColor="text1"/>
        </w:rPr>
        <w:t>.</w:t>
      </w:r>
    </w:p>
    <w:p>
      <w:pPr>
        <w:numPr>
          <w:ilvl w:val="0"/>
          <w:numId w:val="1"/>
        </w:numPr>
        <w:tabs>
          <w:tab w:val="clear" w:pos="720"/>
        </w:tabs>
        <w:spacing w:line="360" w:lineRule="auto"/>
        <w:jc w:val="both"/>
        <w:rPr>
          <w:color w:val="000000" w:themeColor="text1"/>
        </w:rPr>
      </w:pPr>
      <w:r>
        <w:rPr>
          <w:b/>
          <w:color w:val="000000" w:themeColor="text1"/>
        </w:rPr>
        <w:t>SCOPE:</w:t>
      </w:r>
      <w:r>
        <w:rPr>
          <w:color w:val="000000" w:themeColor="text1"/>
        </w:rPr>
        <w:t xml:space="preserve"> </w:t>
      </w:r>
    </w:p>
    <w:p>
      <w:pPr>
        <w:spacing w:line="360" w:lineRule="auto"/>
        <w:ind w:left="720"/>
        <w:jc w:val="both"/>
        <w:rPr>
          <w:b/>
          <w:color w:val="000000" w:themeColor="text1"/>
        </w:rPr>
      </w:pPr>
      <w:r>
        <w:rPr>
          <w:color w:val="000000" w:themeColor="text1"/>
        </w:rPr>
        <w:t>This</w:t>
      </w:r>
      <w:r>
        <w:rPr>
          <w:rFonts w:cs="Arial"/>
        </w:rPr>
        <w:t xml:space="preserve"> SOP is applicable for</w:t>
      </w:r>
      <w:r>
        <w:t xml:space="preserve"> all employees working at Discovery Laboratories Pvt. Ltd</w:t>
      </w:r>
      <w:r>
        <w:rPr>
          <w:color w:val="000000" w:themeColor="text1"/>
        </w:rPr>
        <w:t>.</w:t>
      </w:r>
    </w:p>
    <w:p>
      <w:pPr>
        <w:numPr>
          <w:ilvl w:val="0"/>
          <w:numId w:val="1"/>
        </w:numPr>
        <w:tabs>
          <w:tab w:val="clear" w:pos="720"/>
        </w:tabs>
        <w:spacing w:line="360" w:lineRule="auto"/>
        <w:jc w:val="both"/>
        <w:rPr>
          <w:b/>
          <w:color w:val="000000" w:themeColor="text1"/>
        </w:rPr>
      </w:pPr>
      <w:r>
        <w:rPr>
          <w:b/>
          <w:color w:val="000000" w:themeColor="text1"/>
        </w:rPr>
        <w:t>RESPONSIBILITY:</w:t>
      </w:r>
    </w:p>
    <w:p>
      <w:pPr>
        <w:spacing w:line="360" w:lineRule="auto"/>
        <w:ind w:left="720"/>
        <w:jc w:val="both"/>
        <w:rPr>
          <w:color w:val="000000"/>
        </w:rPr>
      </w:pPr>
      <w:r>
        <w:rPr>
          <w:color w:val="000000"/>
        </w:rPr>
        <w:t>The responsibility of HR department organizing medical check-up for all the employees.</w:t>
      </w:r>
    </w:p>
    <w:p>
      <w:pPr>
        <w:numPr>
          <w:ilvl w:val="0"/>
          <w:numId w:val="1"/>
        </w:numPr>
        <w:tabs>
          <w:tab w:val="clear" w:pos="720"/>
        </w:tabs>
        <w:spacing w:line="360" w:lineRule="auto"/>
        <w:jc w:val="both"/>
        <w:rPr>
          <w:b/>
          <w:caps/>
          <w:color w:val="000000" w:themeColor="text1"/>
        </w:rPr>
      </w:pPr>
      <w:r>
        <w:rPr>
          <w:b/>
          <w:caps/>
          <w:color w:val="000000" w:themeColor="text1"/>
        </w:rPr>
        <w:t>Definitions:</w:t>
      </w:r>
    </w:p>
    <w:p>
      <w:pPr>
        <w:spacing w:line="360" w:lineRule="auto"/>
        <w:ind w:left="720"/>
        <w:jc w:val="both"/>
        <w:rPr>
          <w:color w:val="000000" w:themeColor="text1"/>
        </w:rPr>
      </w:pPr>
      <w:r>
        <w:rPr>
          <w:color w:val="000000" w:themeColor="text1"/>
        </w:rPr>
        <w:t>Nil</w:t>
      </w:r>
    </w:p>
    <w:p>
      <w:pPr>
        <w:numPr>
          <w:ilvl w:val="0"/>
          <w:numId w:val="1"/>
        </w:numPr>
        <w:tabs>
          <w:tab w:val="clear" w:pos="720"/>
        </w:tabs>
        <w:spacing w:line="360" w:lineRule="auto"/>
        <w:jc w:val="both"/>
        <w:rPr>
          <w:b/>
          <w:color w:val="000000" w:themeColor="text1"/>
        </w:rPr>
      </w:pPr>
      <w:r>
        <w:rPr>
          <w:b/>
          <w:color w:val="000000" w:themeColor="text1"/>
        </w:rPr>
        <w:t>PROCEDURE :</w:t>
      </w:r>
    </w:p>
    <w:p>
      <w:pPr>
        <w:numPr>
          <w:ilvl w:val="1"/>
          <w:numId w:val="1"/>
        </w:numPr>
        <w:tabs>
          <w:tab w:val="clear" w:pos="720"/>
        </w:tabs>
        <w:spacing w:line="360" w:lineRule="auto"/>
        <w:ind w:left="1296" w:hanging="576"/>
        <w:jc w:val="both"/>
      </w:pPr>
      <w:r>
        <w:t>HR Department shall fix-up the schedule of medical Check-up and shall communicate the same to all the employees.</w:t>
      </w:r>
    </w:p>
    <w:p>
      <w:pPr>
        <w:numPr>
          <w:ilvl w:val="1"/>
          <w:numId w:val="1"/>
        </w:numPr>
        <w:tabs>
          <w:tab w:val="clear" w:pos="720"/>
        </w:tabs>
        <w:spacing w:line="360" w:lineRule="auto"/>
        <w:ind w:left="1296" w:hanging="576"/>
        <w:jc w:val="both"/>
      </w:pPr>
      <w:r>
        <w:t>On the scheduled date, the registered medical practitioner shall carry out medical Check-up for investigations like Complete Blood Picture, Complete Urine Examination, Blood Group, ECG, Eye Test, Noise Test Random Blood Sugar and Blood Urea for all the employees and shall record his observations in the standard format prescribed by diagnostic centre.</w:t>
      </w:r>
    </w:p>
    <w:p>
      <w:pPr>
        <w:numPr>
          <w:ilvl w:val="1"/>
          <w:numId w:val="1"/>
        </w:numPr>
        <w:tabs>
          <w:tab w:val="clear" w:pos="720"/>
        </w:tabs>
        <w:spacing w:line="360" w:lineRule="auto"/>
        <w:ind w:left="1296" w:hanging="576"/>
        <w:jc w:val="both"/>
      </w:pPr>
      <w:r>
        <w:t>Once in 2 years ±2 Months Medical Examination shall be carried out.</w:t>
      </w:r>
    </w:p>
    <w:p>
      <w:pPr>
        <w:numPr>
          <w:ilvl w:val="1"/>
          <w:numId w:val="1"/>
        </w:numPr>
        <w:tabs>
          <w:tab w:val="clear" w:pos="720"/>
        </w:tabs>
        <w:spacing w:line="360" w:lineRule="auto"/>
        <w:ind w:left="1296" w:hanging="576"/>
        <w:jc w:val="both"/>
      </w:pPr>
      <w:r>
        <w:t>All the investigation reports shall be retained in HR Department and inform to employee, if any abnormalities are observed in the reports.</w:t>
      </w:r>
    </w:p>
    <w:p>
      <w:pPr>
        <w:numPr>
          <w:ilvl w:val="0"/>
          <w:numId w:val="1"/>
        </w:numPr>
        <w:tabs>
          <w:tab w:val="clear" w:pos="720"/>
        </w:tabs>
        <w:spacing w:line="360" w:lineRule="auto"/>
        <w:jc w:val="both"/>
        <w:rPr>
          <w:b/>
          <w:caps/>
          <w:color w:val="000000" w:themeColor="text1"/>
        </w:rPr>
      </w:pPr>
      <w:r>
        <w:rPr>
          <w:b/>
          <w:caps/>
          <w:color w:val="000000" w:themeColor="text1"/>
        </w:rPr>
        <w:t>Formats / annexure(S):</w:t>
      </w:r>
    </w:p>
    <w:p>
      <w:pPr>
        <w:spacing w:line="360" w:lineRule="auto"/>
        <w:ind w:left="720"/>
        <w:jc w:val="both"/>
      </w:pPr>
      <w:r>
        <w:t>NIL</w:t>
      </w:r>
    </w:p>
    <w:p>
      <w:pPr>
        <w:spacing w:line="360" w:lineRule="auto"/>
        <w:ind w:left="720"/>
        <w:jc w:val="both"/>
      </w:pPr>
    </w:p>
    <w:p>
      <w:pPr>
        <w:spacing w:line="360" w:lineRule="auto"/>
        <w:ind w:left="720"/>
        <w:jc w:val="both"/>
        <w:rPr>
          <w:b/>
          <w:caps/>
          <w:color w:val="000000" w:themeColor="text1"/>
        </w:rPr>
      </w:pPr>
    </w:p>
    <w:p>
      <w:pPr>
        <w:numPr>
          <w:ilvl w:val="0"/>
          <w:numId w:val="1"/>
        </w:numPr>
        <w:tabs>
          <w:tab w:val="clear" w:pos="720"/>
        </w:tabs>
        <w:spacing w:line="360" w:lineRule="auto"/>
        <w:jc w:val="both"/>
        <w:rPr>
          <w:b/>
          <w:caps/>
          <w:color w:val="000000" w:themeColor="text1"/>
        </w:rPr>
      </w:pPr>
      <w:r>
        <w:rPr>
          <w:b/>
          <w:caps/>
          <w:color w:val="000000" w:themeColor="text1"/>
        </w:rPr>
        <w:t>Change History:</w:t>
      </w:r>
    </w:p>
    <w:tbl>
      <w:tblPr>
        <w:tblStyle w:val="9"/>
        <w:tblW w:w="1031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9"/>
        <w:gridCol w:w="1450"/>
        <w:gridCol w:w="6063"/>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blHeader/>
        </w:trPr>
        <w:tc>
          <w:tcPr>
            <w:tcW w:w="1249" w:type="dxa"/>
            <w:vAlign w:val="center"/>
          </w:tcPr>
          <w:p>
            <w:pPr>
              <w:ind w:right="119"/>
              <w:jc w:val="center"/>
              <w:rPr>
                <w:b/>
                <w:color w:val="000000" w:themeColor="text1"/>
              </w:rPr>
            </w:pPr>
            <w:r>
              <w:rPr>
                <w:b/>
                <w:color w:val="000000" w:themeColor="text1"/>
              </w:rPr>
              <w:t>Revision No.</w:t>
            </w:r>
          </w:p>
        </w:tc>
        <w:tc>
          <w:tcPr>
            <w:tcW w:w="1450" w:type="dxa"/>
            <w:vAlign w:val="center"/>
          </w:tcPr>
          <w:p>
            <w:pPr>
              <w:ind w:right="119"/>
              <w:jc w:val="center"/>
              <w:rPr>
                <w:color w:val="000000" w:themeColor="text1"/>
              </w:rPr>
            </w:pPr>
            <w:r>
              <w:rPr>
                <w:b/>
                <w:color w:val="000000" w:themeColor="text1"/>
              </w:rPr>
              <w:t>Effective Date</w:t>
            </w:r>
          </w:p>
        </w:tc>
        <w:tc>
          <w:tcPr>
            <w:tcW w:w="6063" w:type="dxa"/>
            <w:vAlign w:val="center"/>
          </w:tcPr>
          <w:p>
            <w:pPr>
              <w:ind w:right="119"/>
              <w:jc w:val="center"/>
              <w:rPr>
                <w:color w:val="000000" w:themeColor="text1"/>
              </w:rPr>
            </w:pPr>
            <w:r>
              <w:rPr>
                <w:b/>
                <w:color w:val="000000" w:themeColor="text1"/>
              </w:rPr>
              <w:t>Details of Revision</w:t>
            </w:r>
          </w:p>
        </w:tc>
        <w:tc>
          <w:tcPr>
            <w:tcW w:w="1548" w:type="dxa"/>
            <w:vAlign w:val="center"/>
          </w:tcPr>
          <w:p>
            <w:pPr>
              <w:ind w:right="119"/>
              <w:jc w:val="center"/>
              <w:rPr>
                <w:b/>
                <w:color w:val="000000" w:themeColor="text1"/>
              </w:rPr>
            </w:pPr>
            <w:r>
              <w:rPr>
                <w:b/>
                <w:color w:val="000000" w:themeColor="text1"/>
              </w:rPr>
              <w:t>Ref. CCF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249" w:type="dxa"/>
            <w:vAlign w:val="center"/>
          </w:tcPr>
          <w:p>
            <w:pPr>
              <w:ind w:right="119"/>
              <w:jc w:val="center"/>
              <w:rPr>
                <w:color w:val="000000" w:themeColor="text1"/>
              </w:rPr>
            </w:pPr>
            <w:r>
              <w:rPr>
                <w:color w:val="000000" w:themeColor="text1"/>
              </w:rPr>
              <w:t>00</w:t>
            </w:r>
          </w:p>
        </w:tc>
        <w:tc>
          <w:tcPr>
            <w:tcW w:w="1450" w:type="dxa"/>
            <w:vAlign w:val="center"/>
          </w:tcPr>
          <w:p>
            <w:pPr>
              <w:ind w:right="119"/>
              <w:rPr>
                <w:color w:val="000000" w:themeColor="text1"/>
              </w:rPr>
            </w:pPr>
            <w:r>
              <w:rPr>
                <w:color w:val="000000" w:themeColor="text1"/>
              </w:rPr>
              <w:t>27.03.2013</w:t>
            </w:r>
          </w:p>
        </w:tc>
        <w:tc>
          <w:tcPr>
            <w:tcW w:w="6063" w:type="dxa"/>
            <w:vAlign w:val="center"/>
          </w:tcPr>
          <w:p>
            <w:pPr>
              <w:ind w:right="119"/>
              <w:rPr>
                <w:color w:val="000000" w:themeColor="text1"/>
              </w:rPr>
            </w:pPr>
            <w:r>
              <w:rPr>
                <w:color w:val="000000" w:themeColor="text1"/>
              </w:rPr>
              <w:t>New SOP</w:t>
            </w:r>
          </w:p>
        </w:tc>
        <w:tc>
          <w:tcPr>
            <w:tcW w:w="1548" w:type="dxa"/>
            <w:vAlign w:val="center"/>
          </w:tcPr>
          <w:p>
            <w:pPr>
              <w:ind w:right="119"/>
              <w:jc w:val="center"/>
              <w:rPr>
                <w:color w:val="000000" w:themeColor="text1"/>
              </w:rPr>
            </w:pPr>
            <w:r>
              <w:rPr>
                <w:color w:val="000000" w:themeColor="text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249" w:type="dxa"/>
            <w:vAlign w:val="center"/>
          </w:tcPr>
          <w:p>
            <w:pPr>
              <w:ind w:right="119"/>
              <w:jc w:val="center"/>
              <w:rPr>
                <w:color w:val="000000" w:themeColor="text1"/>
              </w:rPr>
            </w:pPr>
            <w:r>
              <w:rPr>
                <w:color w:val="000000" w:themeColor="text1"/>
              </w:rPr>
              <w:t>01</w:t>
            </w:r>
          </w:p>
        </w:tc>
        <w:tc>
          <w:tcPr>
            <w:tcW w:w="1450" w:type="dxa"/>
            <w:vAlign w:val="center"/>
          </w:tcPr>
          <w:p>
            <w:pPr>
              <w:spacing w:line="360" w:lineRule="auto"/>
              <w:ind w:right="119"/>
              <w:jc w:val="center"/>
            </w:pPr>
            <w:r>
              <w:t>01.07.2017</w:t>
            </w:r>
          </w:p>
        </w:tc>
        <w:tc>
          <w:tcPr>
            <w:tcW w:w="6063" w:type="dxa"/>
            <w:vAlign w:val="center"/>
          </w:tcPr>
          <w:p>
            <w:pPr>
              <w:pStyle w:val="11"/>
              <w:numPr>
                <w:ilvl w:val="0"/>
                <w:numId w:val="2"/>
              </w:numPr>
              <w:spacing w:line="360" w:lineRule="auto"/>
              <w:ind w:left="427" w:right="144"/>
              <w:rPr>
                <w:bCs/>
                <w:iCs/>
              </w:rPr>
            </w:pPr>
            <w:r>
              <w:rPr>
                <w:bCs/>
                <w:iCs/>
              </w:rPr>
              <w:t>SOP revised in-line with SOP “SOP-QA-001-05”.</w:t>
            </w:r>
          </w:p>
          <w:p>
            <w:pPr>
              <w:pStyle w:val="11"/>
              <w:numPr>
                <w:ilvl w:val="0"/>
                <w:numId w:val="2"/>
              </w:numPr>
              <w:spacing w:line="360" w:lineRule="auto"/>
              <w:ind w:left="427" w:right="144"/>
              <w:rPr>
                <w:bCs/>
                <w:iCs/>
              </w:rPr>
            </w:pPr>
            <w:r>
              <w:rPr>
                <w:bCs/>
                <w:iCs/>
              </w:rPr>
              <w:t>Department name changed from P&amp;A to Human Resources.</w:t>
            </w:r>
          </w:p>
          <w:p>
            <w:pPr>
              <w:pStyle w:val="11"/>
              <w:numPr>
                <w:ilvl w:val="0"/>
                <w:numId w:val="2"/>
              </w:numPr>
              <w:spacing w:line="360" w:lineRule="auto"/>
              <w:ind w:left="427" w:right="144"/>
              <w:rPr>
                <w:bCs/>
                <w:iCs/>
              </w:rPr>
            </w:pPr>
            <w:r>
              <w:rPr>
                <w:bCs/>
                <w:iCs/>
              </w:rPr>
              <w:t>Procedure rephrased for better clarity.</w:t>
            </w:r>
          </w:p>
        </w:tc>
        <w:tc>
          <w:tcPr>
            <w:tcW w:w="1548" w:type="dxa"/>
            <w:vAlign w:val="center"/>
          </w:tcPr>
          <w:p>
            <w:pPr>
              <w:ind w:right="119"/>
              <w:jc w:val="center"/>
              <w:rPr>
                <w:color w:val="000000" w:themeColor="text1"/>
              </w:rPr>
            </w:pPr>
            <w:r>
              <w:rPr>
                <w:color w:val="000000" w:themeColor="text1"/>
              </w:rPr>
              <w:t>CCF/GEN/</w:t>
            </w:r>
          </w:p>
          <w:p>
            <w:pPr>
              <w:ind w:right="119"/>
              <w:jc w:val="center"/>
              <w:rPr>
                <w:color w:val="000000" w:themeColor="text1"/>
              </w:rPr>
            </w:pPr>
            <w:r>
              <w:rPr>
                <w:color w:val="000000" w:themeColor="text1"/>
              </w:rPr>
              <w:t>17019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1249" w:type="dxa"/>
            <w:vAlign w:val="center"/>
          </w:tcPr>
          <w:p>
            <w:pPr>
              <w:ind w:right="119"/>
              <w:jc w:val="center"/>
              <w:rPr>
                <w:color w:val="000000" w:themeColor="text1"/>
              </w:rPr>
            </w:pPr>
            <w:r>
              <w:rPr>
                <w:color w:val="000000" w:themeColor="text1"/>
              </w:rPr>
              <w:t>02</w:t>
            </w:r>
          </w:p>
        </w:tc>
        <w:tc>
          <w:tcPr>
            <w:tcW w:w="1450" w:type="dxa"/>
            <w:vAlign w:val="center"/>
          </w:tcPr>
          <w:p>
            <w:pPr>
              <w:spacing w:line="360" w:lineRule="auto"/>
              <w:ind w:right="119"/>
              <w:jc w:val="center"/>
            </w:pPr>
            <w:r>
              <w:t>01.04.2018</w:t>
            </w:r>
          </w:p>
        </w:tc>
        <w:tc>
          <w:tcPr>
            <w:tcW w:w="6063" w:type="dxa"/>
            <w:vAlign w:val="center"/>
          </w:tcPr>
          <w:p>
            <w:pPr>
              <w:pStyle w:val="11"/>
              <w:numPr>
                <w:ilvl w:val="0"/>
                <w:numId w:val="3"/>
              </w:numPr>
              <w:spacing w:line="360" w:lineRule="auto"/>
              <w:ind w:left="427" w:right="144"/>
              <w:rPr>
                <w:bCs/>
                <w:iCs/>
              </w:rPr>
            </w:pPr>
            <w:r>
              <w:rPr>
                <w:bCs/>
                <w:iCs/>
              </w:rPr>
              <w:t>Procedure rephrased for better clarity.</w:t>
            </w:r>
          </w:p>
        </w:tc>
        <w:tc>
          <w:tcPr>
            <w:tcW w:w="1548" w:type="dxa"/>
            <w:vAlign w:val="center"/>
          </w:tcPr>
          <w:p>
            <w:pPr>
              <w:ind w:right="119"/>
              <w:jc w:val="center"/>
              <w:rPr>
                <w:color w:val="000000" w:themeColor="text1"/>
              </w:rPr>
            </w:pPr>
            <w:r>
              <w:rPr>
                <w:color w:val="000000" w:themeColor="text1"/>
              </w:rPr>
              <w:t>CCF/GEN/</w:t>
            </w:r>
          </w:p>
          <w:p>
            <w:pPr>
              <w:ind w:right="119"/>
              <w:jc w:val="center"/>
              <w:rPr>
                <w:color w:val="000000" w:themeColor="text1"/>
              </w:rPr>
            </w:pPr>
            <w:r>
              <w:rPr>
                <w:color w:val="000000" w:themeColor="text1"/>
              </w:rPr>
              <w:t>18009</w:t>
            </w:r>
          </w:p>
        </w:tc>
      </w:tr>
    </w:tbl>
    <w:p>
      <w:pPr>
        <w:spacing w:line="360" w:lineRule="auto"/>
        <w:ind w:left="-225" w:right="-315"/>
        <w:jc w:val="both"/>
        <w:rPr>
          <w:b/>
          <w:caps/>
          <w:color w:val="000000" w:themeColor="text1"/>
        </w:rPr>
      </w:pPr>
    </w:p>
    <w:p>
      <w:pPr>
        <w:spacing w:line="360" w:lineRule="auto"/>
        <w:ind w:left="-225" w:right="-315"/>
        <w:jc w:val="both"/>
        <w:rPr>
          <w:b/>
          <w:caps/>
          <w:color w:val="000000" w:themeColor="text1"/>
        </w:rPr>
      </w:pPr>
    </w:p>
    <w:p/>
    <w:p/>
    <w:p>
      <w:pPr>
        <w:rPr>
          <w:color w:val="000000" w:themeColor="text1"/>
        </w:rPr>
      </w:pPr>
    </w:p>
    <w:sectPr>
      <w:headerReference r:id="rId4" w:type="first"/>
      <w:footerReference r:id="rId6" w:type="first"/>
      <w:headerReference r:id="rId3" w:type="default"/>
      <w:footerReference r:id="rId5" w:type="default"/>
      <w:pgSz w:w="11909" w:h="16834"/>
      <w:pgMar w:top="1440" w:right="929" w:bottom="810" w:left="1440" w:header="1152" w:footer="10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0440" w:type="dxa"/>
      <w:tblInd w:w="-40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926"/>
      <w:gridCol w:w="2727"/>
      <w:gridCol w:w="2831"/>
      <w:gridCol w:w="295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6" w:hRule="atLeast"/>
      </w:trPr>
      <w:tc>
        <w:tcPr>
          <w:tcW w:w="1873" w:type="dxa"/>
          <w:vAlign w:val="center"/>
        </w:tcPr>
        <w:p>
          <w:pPr>
            <w:tabs>
              <w:tab w:val="center" w:pos="4320"/>
              <w:tab w:val="right" w:pos="8640"/>
            </w:tabs>
            <w:jc w:val="center"/>
            <w:rPr>
              <w:b/>
            </w:rPr>
          </w:pPr>
        </w:p>
      </w:tc>
      <w:tc>
        <w:tcPr>
          <w:tcW w:w="2652" w:type="dxa"/>
          <w:vAlign w:val="center"/>
        </w:tcPr>
        <w:p>
          <w:pPr>
            <w:tabs>
              <w:tab w:val="center" w:pos="4320"/>
              <w:tab w:val="right" w:pos="8640"/>
            </w:tabs>
            <w:jc w:val="center"/>
            <w:rPr>
              <w:b/>
            </w:rPr>
          </w:pPr>
          <w:r>
            <w:rPr>
              <w:b/>
            </w:rPr>
            <w:t>Prepared by</w:t>
          </w:r>
        </w:p>
      </w:tc>
      <w:tc>
        <w:tcPr>
          <w:tcW w:w="2753" w:type="dxa"/>
          <w:vAlign w:val="center"/>
        </w:tcPr>
        <w:p>
          <w:pPr>
            <w:tabs>
              <w:tab w:val="center" w:pos="4320"/>
              <w:tab w:val="right" w:pos="8640"/>
            </w:tabs>
            <w:jc w:val="center"/>
            <w:rPr>
              <w:b/>
            </w:rPr>
          </w:pPr>
          <w:r>
            <w:rPr>
              <w:b/>
            </w:rPr>
            <w:t>Reviewed by</w:t>
          </w:r>
        </w:p>
      </w:tc>
      <w:tc>
        <w:tcPr>
          <w:tcW w:w="2874" w:type="dxa"/>
          <w:vAlign w:val="center"/>
        </w:tcPr>
        <w:p>
          <w:pPr>
            <w:tabs>
              <w:tab w:val="center" w:pos="4320"/>
              <w:tab w:val="right" w:pos="8640"/>
            </w:tabs>
            <w:jc w:val="center"/>
            <w:rPr>
              <w:b/>
            </w:rPr>
          </w:pPr>
          <w:r>
            <w:rPr>
              <w:b/>
            </w:rPr>
            <w:t>Approved by</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48" w:hRule="atLeast"/>
      </w:trPr>
      <w:tc>
        <w:tcPr>
          <w:tcW w:w="1873" w:type="dxa"/>
          <w:vAlign w:val="center"/>
        </w:tcPr>
        <w:p>
          <w:pPr>
            <w:tabs>
              <w:tab w:val="center" w:pos="4320"/>
              <w:tab w:val="right" w:pos="8640"/>
            </w:tabs>
            <w:jc w:val="center"/>
            <w:rPr>
              <w:sz w:val="22"/>
              <w:szCs w:val="22"/>
            </w:rPr>
          </w:pPr>
          <w:r>
            <w:rPr>
              <w:sz w:val="22"/>
              <w:szCs w:val="22"/>
            </w:rPr>
            <w:t>Sign &amp; Date</w:t>
          </w:r>
        </w:p>
      </w:tc>
      <w:tc>
        <w:tcPr>
          <w:tcW w:w="2652" w:type="dxa"/>
          <w:vAlign w:val="center"/>
        </w:tcPr>
        <w:p>
          <w:pPr>
            <w:tabs>
              <w:tab w:val="center" w:pos="4320"/>
              <w:tab w:val="right" w:pos="8640"/>
            </w:tabs>
            <w:jc w:val="center"/>
            <w:rPr>
              <w:sz w:val="22"/>
              <w:szCs w:val="22"/>
            </w:rPr>
          </w:pPr>
        </w:p>
      </w:tc>
      <w:tc>
        <w:tcPr>
          <w:tcW w:w="2753" w:type="dxa"/>
          <w:vAlign w:val="center"/>
        </w:tcPr>
        <w:p>
          <w:pPr>
            <w:jc w:val="center"/>
            <w:rPr>
              <w:sz w:val="22"/>
              <w:szCs w:val="22"/>
            </w:rPr>
          </w:pPr>
        </w:p>
      </w:tc>
      <w:tc>
        <w:tcPr>
          <w:tcW w:w="2874" w:type="dxa"/>
          <w:vAlign w:val="center"/>
        </w:tcPr>
        <w:p>
          <w:pPr>
            <w:jc w:val="center"/>
            <w:rPr>
              <w:sz w:val="22"/>
              <w:szCs w:val="22"/>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873" w:type="dxa"/>
          <w:vAlign w:val="center"/>
        </w:tcPr>
        <w:p>
          <w:pPr>
            <w:tabs>
              <w:tab w:val="center" w:pos="4320"/>
              <w:tab w:val="right" w:pos="8640"/>
            </w:tabs>
            <w:jc w:val="center"/>
          </w:pPr>
          <w:r>
            <w:t>Name</w:t>
          </w:r>
        </w:p>
      </w:tc>
      <w:tc>
        <w:tcPr>
          <w:tcW w:w="2652" w:type="dxa"/>
          <w:vAlign w:val="center"/>
        </w:tcPr>
        <w:p>
          <w:pPr>
            <w:tabs>
              <w:tab w:val="center" w:pos="4320"/>
              <w:tab w:val="right" w:pos="8640"/>
            </w:tabs>
            <w:jc w:val="center"/>
          </w:pPr>
          <w:r>
            <w:t>I. Naresh</w:t>
          </w:r>
        </w:p>
      </w:tc>
      <w:tc>
        <w:tcPr>
          <w:tcW w:w="2753" w:type="dxa"/>
          <w:vAlign w:val="center"/>
        </w:tcPr>
        <w:p>
          <w:pPr>
            <w:jc w:val="center"/>
          </w:pPr>
          <w:r>
            <w:t>G. SriVarma</w:t>
          </w:r>
        </w:p>
      </w:tc>
      <w:tc>
        <w:tcPr>
          <w:tcW w:w="2874" w:type="dxa"/>
          <w:vAlign w:val="center"/>
        </w:tcPr>
        <w:p>
          <w:pPr>
            <w:jc w:val="center"/>
          </w:pPr>
          <w:r>
            <w:t>N. Sreedhar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873" w:type="dxa"/>
          <w:vAlign w:val="center"/>
        </w:tcPr>
        <w:p>
          <w:pPr>
            <w:jc w:val="center"/>
          </w:pPr>
          <w:r>
            <w:t>Department</w:t>
          </w:r>
        </w:p>
      </w:tc>
      <w:tc>
        <w:tcPr>
          <w:tcW w:w="2652" w:type="dxa"/>
          <w:vAlign w:val="center"/>
        </w:tcPr>
        <w:p>
          <w:pPr>
            <w:jc w:val="center"/>
          </w:pPr>
          <w:r>
            <w:t>Admin &amp; HR</w:t>
          </w:r>
        </w:p>
      </w:tc>
      <w:tc>
        <w:tcPr>
          <w:tcW w:w="2753" w:type="dxa"/>
          <w:vAlign w:val="center"/>
        </w:tcPr>
        <w:p>
          <w:pPr>
            <w:jc w:val="center"/>
          </w:pPr>
          <w:r>
            <w:t>Admin &amp; HR</w:t>
          </w:r>
        </w:p>
      </w:tc>
      <w:tc>
        <w:tcPr>
          <w:tcW w:w="2874" w:type="dxa"/>
          <w:vAlign w:val="center"/>
        </w:tcPr>
        <w:p>
          <w:pPr>
            <w:jc w:val="center"/>
          </w:pPr>
          <w:r>
            <w:t>Quality Assurance</w:t>
          </w:r>
        </w:p>
      </w:tc>
    </w:tr>
  </w:tbl>
  <w:p>
    <w:pPr>
      <w:pStyle w:val="6"/>
      <w:ind w:left="-504"/>
    </w:pPr>
    <w:r>
      <w:t>QA001-FM139-01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0656" w:type="dxa"/>
      <w:tblInd w:w="-702"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1926"/>
      <w:gridCol w:w="2798"/>
      <w:gridCol w:w="2909"/>
      <w:gridCol w:w="302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46" w:hRule="atLeast"/>
      </w:trPr>
      <w:tc>
        <w:tcPr>
          <w:tcW w:w="1926" w:type="dxa"/>
          <w:vAlign w:val="center"/>
        </w:tcPr>
        <w:p>
          <w:pPr>
            <w:tabs>
              <w:tab w:val="center" w:pos="4320"/>
              <w:tab w:val="right" w:pos="8640"/>
            </w:tabs>
            <w:jc w:val="center"/>
            <w:rPr>
              <w:b/>
            </w:rPr>
          </w:pPr>
        </w:p>
      </w:tc>
      <w:tc>
        <w:tcPr>
          <w:tcW w:w="2798" w:type="dxa"/>
          <w:vAlign w:val="center"/>
        </w:tcPr>
        <w:p>
          <w:pPr>
            <w:tabs>
              <w:tab w:val="center" w:pos="4320"/>
              <w:tab w:val="right" w:pos="8640"/>
            </w:tabs>
            <w:jc w:val="center"/>
            <w:rPr>
              <w:b/>
            </w:rPr>
          </w:pPr>
          <w:r>
            <w:rPr>
              <w:b/>
            </w:rPr>
            <w:t>Prepared by</w:t>
          </w:r>
        </w:p>
      </w:tc>
      <w:tc>
        <w:tcPr>
          <w:tcW w:w="2909" w:type="dxa"/>
          <w:vAlign w:val="center"/>
        </w:tcPr>
        <w:p>
          <w:pPr>
            <w:tabs>
              <w:tab w:val="center" w:pos="4320"/>
              <w:tab w:val="right" w:pos="8640"/>
            </w:tabs>
            <w:jc w:val="center"/>
            <w:rPr>
              <w:b/>
            </w:rPr>
          </w:pPr>
          <w:r>
            <w:rPr>
              <w:b/>
            </w:rPr>
            <w:t>Reviewed by</w:t>
          </w:r>
        </w:p>
      </w:tc>
      <w:tc>
        <w:tcPr>
          <w:tcW w:w="3023" w:type="dxa"/>
          <w:vAlign w:val="center"/>
        </w:tcPr>
        <w:p>
          <w:pPr>
            <w:tabs>
              <w:tab w:val="center" w:pos="4320"/>
              <w:tab w:val="right" w:pos="8640"/>
            </w:tabs>
            <w:jc w:val="center"/>
            <w:rPr>
              <w:b/>
            </w:rPr>
          </w:pPr>
          <w:r>
            <w:rPr>
              <w:b/>
            </w:rPr>
            <w:t>Approved by</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648" w:hRule="atLeast"/>
      </w:trPr>
      <w:tc>
        <w:tcPr>
          <w:tcW w:w="1926" w:type="dxa"/>
          <w:vAlign w:val="center"/>
        </w:tcPr>
        <w:p>
          <w:pPr>
            <w:tabs>
              <w:tab w:val="center" w:pos="4320"/>
              <w:tab w:val="right" w:pos="8640"/>
            </w:tabs>
            <w:jc w:val="center"/>
            <w:rPr>
              <w:b/>
              <w:sz w:val="22"/>
              <w:szCs w:val="22"/>
            </w:rPr>
          </w:pPr>
          <w:r>
            <w:rPr>
              <w:b/>
              <w:sz w:val="22"/>
              <w:szCs w:val="22"/>
            </w:rPr>
            <w:t>Sign &amp; Date</w:t>
          </w:r>
        </w:p>
      </w:tc>
      <w:tc>
        <w:tcPr>
          <w:tcW w:w="2798" w:type="dxa"/>
          <w:vAlign w:val="center"/>
        </w:tcPr>
        <w:p>
          <w:pPr>
            <w:tabs>
              <w:tab w:val="center" w:pos="4320"/>
              <w:tab w:val="right" w:pos="8640"/>
            </w:tabs>
            <w:jc w:val="center"/>
            <w:rPr>
              <w:sz w:val="22"/>
              <w:szCs w:val="22"/>
            </w:rPr>
          </w:pPr>
        </w:p>
      </w:tc>
      <w:tc>
        <w:tcPr>
          <w:tcW w:w="2909" w:type="dxa"/>
          <w:vAlign w:val="center"/>
        </w:tcPr>
        <w:p>
          <w:pPr>
            <w:jc w:val="center"/>
            <w:rPr>
              <w:sz w:val="22"/>
              <w:szCs w:val="22"/>
            </w:rPr>
          </w:pPr>
        </w:p>
      </w:tc>
      <w:tc>
        <w:tcPr>
          <w:tcW w:w="3023" w:type="dxa"/>
          <w:vAlign w:val="center"/>
        </w:tcPr>
        <w:p>
          <w:pPr>
            <w:jc w:val="center"/>
            <w:rPr>
              <w:sz w:val="22"/>
              <w:szCs w:val="22"/>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926" w:type="dxa"/>
          <w:vAlign w:val="center"/>
        </w:tcPr>
        <w:p>
          <w:pPr>
            <w:tabs>
              <w:tab w:val="center" w:pos="4320"/>
              <w:tab w:val="right" w:pos="8640"/>
            </w:tabs>
            <w:jc w:val="center"/>
            <w:rPr>
              <w:b/>
            </w:rPr>
          </w:pPr>
          <w:r>
            <w:rPr>
              <w:b/>
            </w:rPr>
            <w:t>Name</w:t>
          </w:r>
        </w:p>
      </w:tc>
      <w:tc>
        <w:tcPr>
          <w:tcW w:w="2798" w:type="dxa"/>
          <w:vAlign w:val="center"/>
        </w:tcPr>
        <w:p>
          <w:pPr>
            <w:tabs>
              <w:tab w:val="center" w:pos="4320"/>
              <w:tab w:val="right" w:pos="8640"/>
            </w:tabs>
            <w:jc w:val="center"/>
            <w:rPr>
              <w:b/>
            </w:rPr>
          </w:pPr>
          <w:r>
            <w:rPr>
              <w:b/>
            </w:rPr>
            <w:t>Ch. Mahendar Reddy</w:t>
          </w:r>
        </w:p>
      </w:tc>
      <w:tc>
        <w:tcPr>
          <w:tcW w:w="2909" w:type="dxa"/>
          <w:vAlign w:val="center"/>
        </w:tcPr>
        <w:p>
          <w:pPr>
            <w:jc w:val="center"/>
            <w:rPr>
              <w:b/>
            </w:rPr>
          </w:pPr>
          <w:r>
            <w:rPr>
              <w:b/>
            </w:rPr>
            <w:t>K. Nagarjuna</w:t>
          </w:r>
        </w:p>
      </w:tc>
      <w:tc>
        <w:tcPr>
          <w:tcW w:w="3023" w:type="dxa"/>
          <w:vAlign w:val="center"/>
        </w:tcPr>
        <w:p>
          <w:pPr>
            <w:jc w:val="center"/>
            <w:rPr>
              <w:b/>
            </w:rPr>
          </w:pPr>
          <w:r>
            <w:rPr>
              <w:b/>
            </w:rPr>
            <w:t>P. Shankaraiah</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374" w:hRule="atLeast"/>
      </w:trPr>
      <w:tc>
        <w:tcPr>
          <w:tcW w:w="1926" w:type="dxa"/>
          <w:vAlign w:val="center"/>
        </w:tcPr>
        <w:p>
          <w:pPr>
            <w:jc w:val="center"/>
            <w:rPr>
              <w:b/>
            </w:rPr>
          </w:pPr>
          <w:r>
            <w:rPr>
              <w:b/>
            </w:rPr>
            <w:t>Department</w:t>
          </w:r>
        </w:p>
      </w:tc>
      <w:tc>
        <w:tcPr>
          <w:tcW w:w="2798" w:type="dxa"/>
          <w:vAlign w:val="center"/>
        </w:tcPr>
        <w:p>
          <w:pPr>
            <w:jc w:val="center"/>
            <w:rPr>
              <w:b/>
            </w:rPr>
          </w:pPr>
          <w:r>
            <w:rPr>
              <w:b/>
            </w:rPr>
            <w:t>Quality Assurance</w:t>
          </w:r>
        </w:p>
      </w:tc>
      <w:tc>
        <w:tcPr>
          <w:tcW w:w="2909" w:type="dxa"/>
          <w:vAlign w:val="center"/>
        </w:tcPr>
        <w:p>
          <w:pPr>
            <w:jc w:val="center"/>
            <w:rPr>
              <w:b/>
            </w:rPr>
          </w:pPr>
          <w:r>
            <w:rPr>
              <w:b/>
            </w:rPr>
            <w:t>Quality Assurance</w:t>
          </w:r>
        </w:p>
      </w:tc>
      <w:tc>
        <w:tcPr>
          <w:tcW w:w="3023" w:type="dxa"/>
          <w:vAlign w:val="center"/>
        </w:tcPr>
        <w:p>
          <w:pPr>
            <w:jc w:val="center"/>
            <w:rPr>
              <w:b/>
            </w:rPr>
          </w:pPr>
          <w:r>
            <w:rPr>
              <w:b/>
            </w:rPr>
            <w:t>Quality Assurance</w:t>
          </w:r>
        </w:p>
      </w:tc>
    </w:tr>
  </w:tbl>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0440" w:type="dxa"/>
      <w:tblInd w:w="-40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94"/>
      <w:gridCol w:w="1712"/>
      <w:gridCol w:w="2471"/>
      <w:gridCol w:w="2175"/>
      <w:gridCol w:w="188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90" w:hRule="atLeast"/>
      </w:trPr>
      <w:tc>
        <w:tcPr>
          <w:tcW w:w="2194" w:type="dxa"/>
          <w:vMerge w:val="restart"/>
          <w:vAlign w:val="center"/>
        </w:tcPr>
        <w:p>
          <w:pPr>
            <w:ind w:left="792" w:hanging="792"/>
            <w:jc w:val="center"/>
            <w:rPr>
              <w:b/>
              <w:sz w:val="28"/>
              <w:szCs w:val="28"/>
            </w:rPr>
          </w:pPr>
          <w:r>
            <w:rPr>
              <w:b/>
              <w:sz w:val="28"/>
              <w:szCs w:val="28"/>
              <w:lang w:val="en-IN" w:eastAsia="en-IN"/>
            </w:rPr>
            <w:drawing>
              <wp:anchor distT="0" distB="0" distL="114300" distR="114300" simplePos="0" relativeHeight="251660288" behindDoc="0" locked="0" layoutInCell="1" allowOverlap="1">
                <wp:simplePos x="0" y="0"/>
                <wp:positionH relativeFrom="column">
                  <wp:posOffset>42545</wp:posOffset>
                </wp:positionH>
                <wp:positionV relativeFrom="paragraph">
                  <wp:posOffset>302260</wp:posOffset>
                </wp:positionV>
                <wp:extent cx="1171575" cy="857250"/>
                <wp:effectExtent l="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rcRect/>
                        <a:stretch>
                          <a:fillRect/>
                        </a:stretch>
                      </pic:blipFill>
                      <pic:spPr>
                        <a:xfrm>
                          <a:off x="0" y="0"/>
                          <a:ext cx="1171575" cy="857250"/>
                        </a:xfrm>
                        <a:prstGeom prst="rect">
                          <a:avLst/>
                        </a:prstGeom>
                        <a:noFill/>
                        <a:ln w="9525">
                          <a:noFill/>
                          <a:miter lim="800000"/>
                          <a:headEnd/>
                          <a:tailEnd/>
                        </a:ln>
                      </pic:spPr>
                    </pic:pic>
                  </a:graphicData>
                </a:graphic>
              </wp:anchor>
            </w:drawing>
          </w:r>
          <w:r>
            <w:rPr>
              <w:b/>
              <w:sz w:val="28"/>
              <w:szCs w:val="28"/>
            </w:rPr>
            <w:t xml:space="preserve"> </w:t>
          </w:r>
        </w:p>
      </w:tc>
      <w:tc>
        <w:tcPr>
          <w:tcW w:w="8246" w:type="dxa"/>
          <w:gridSpan w:val="4"/>
          <w:vAlign w:val="center"/>
        </w:tcPr>
        <w:p>
          <w:pPr>
            <w:jc w:val="center"/>
            <w:rPr>
              <w:b/>
              <w:sz w:val="28"/>
              <w:szCs w:val="28"/>
            </w:rPr>
          </w:pPr>
          <w:r>
            <w:rPr>
              <w:b/>
            </w:rPr>
            <w:t>STANDARD OPERATING PROCEDURE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cantSplit/>
        <w:trHeight w:val="490" w:hRule="atLeast"/>
      </w:trPr>
      <w:tc>
        <w:tcPr>
          <w:tcW w:w="2194" w:type="dxa"/>
          <w:vMerge w:val="continue"/>
          <w:vAlign w:val="center"/>
        </w:tcPr>
        <w:p/>
      </w:tc>
      <w:tc>
        <w:tcPr>
          <w:tcW w:w="1712" w:type="dxa"/>
          <w:vAlign w:val="center"/>
        </w:tcPr>
        <w:p>
          <w:r>
            <w:t xml:space="preserve">SOP No.: </w:t>
          </w:r>
        </w:p>
      </w:tc>
      <w:tc>
        <w:tcPr>
          <w:tcW w:w="2471" w:type="dxa"/>
          <w:vAlign w:val="center"/>
        </w:tcPr>
        <w:p>
          <w:r>
            <w:t>SOP-HR-012-02</w:t>
          </w:r>
        </w:p>
      </w:tc>
      <w:tc>
        <w:tcPr>
          <w:tcW w:w="2175" w:type="dxa"/>
          <w:vAlign w:val="center"/>
        </w:tcPr>
        <w:p>
          <w:r>
            <w:t>Effective Date:</w:t>
          </w:r>
        </w:p>
      </w:tc>
      <w:tc>
        <w:tcPr>
          <w:tcW w:w="1888" w:type="dxa"/>
          <w:vAlign w:val="center"/>
        </w:tcPr>
        <w:p>
          <w:pPr>
            <w:jc w:val="center"/>
          </w:pPr>
          <w:r>
            <w:t>01.04.2018</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90" w:hRule="atLeast"/>
      </w:trPr>
      <w:tc>
        <w:tcPr>
          <w:tcW w:w="2194" w:type="dxa"/>
          <w:vMerge w:val="continue"/>
          <w:vAlign w:val="center"/>
        </w:tcPr>
        <w:p/>
      </w:tc>
      <w:tc>
        <w:tcPr>
          <w:tcW w:w="1712" w:type="dxa"/>
          <w:vAlign w:val="center"/>
        </w:tcPr>
        <w:p>
          <w:r>
            <w:t xml:space="preserve">Supersedes : </w:t>
          </w:r>
        </w:p>
      </w:tc>
      <w:tc>
        <w:tcPr>
          <w:tcW w:w="2471" w:type="dxa"/>
          <w:vAlign w:val="center"/>
        </w:tcPr>
        <w:p>
          <w:r>
            <w:t>SOP-HR-012-01</w:t>
          </w:r>
        </w:p>
      </w:tc>
      <w:tc>
        <w:tcPr>
          <w:tcW w:w="2175" w:type="dxa"/>
          <w:vAlign w:val="center"/>
        </w:tcPr>
        <w:p>
          <w:r>
            <w:t>Next Review Date:</w:t>
          </w:r>
        </w:p>
      </w:tc>
      <w:tc>
        <w:tcPr>
          <w:tcW w:w="1888" w:type="dxa"/>
          <w:vAlign w:val="center"/>
        </w:tcPr>
        <w:p>
          <w:pPr>
            <w:jc w:val="center"/>
          </w:pPr>
          <w:r>
            <w:t>March-2021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90" w:hRule="atLeast"/>
      </w:trPr>
      <w:tc>
        <w:tcPr>
          <w:tcW w:w="2194" w:type="dxa"/>
          <w:vMerge w:val="continue"/>
          <w:vAlign w:val="center"/>
        </w:tcPr>
        <w:p/>
      </w:tc>
      <w:tc>
        <w:tcPr>
          <w:tcW w:w="1712" w:type="dxa"/>
          <w:vAlign w:val="center"/>
        </w:tcPr>
        <w:p>
          <w:r>
            <w:t>Department:</w:t>
          </w:r>
        </w:p>
      </w:tc>
      <w:tc>
        <w:tcPr>
          <w:tcW w:w="2471" w:type="dxa"/>
          <w:vAlign w:val="center"/>
        </w:tcPr>
        <w:p>
          <w:r>
            <w:t>Human Resources</w:t>
          </w:r>
        </w:p>
      </w:tc>
      <w:tc>
        <w:tcPr>
          <w:tcW w:w="2175" w:type="dxa"/>
          <w:vAlign w:val="center"/>
        </w:tcPr>
        <w:p>
          <w:r>
            <w:t>Page:</w:t>
          </w:r>
        </w:p>
      </w:tc>
      <w:tc>
        <w:tcPr>
          <w:tcW w:w="1888" w:type="dxa"/>
          <w:vAlign w:val="center"/>
        </w:tcPr>
        <w:p>
          <w:pPr>
            <w:jc w:val="center"/>
          </w:pP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2</w:t>
          </w:r>
          <w:r>
            <w:fldChar w:fldCharType="end"/>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90" w:hRule="atLeast"/>
      </w:trPr>
      <w:tc>
        <w:tcPr>
          <w:tcW w:w="10440" w:type="dxa"/>
          <w:gridSpan w:val="5"/>
          <w:vAlign w:val="center"/>
        </w:tcPr>
        <w:p>
          <w:pPr>
            <w:ind w:left="936" w:hanging="936"/>
            <w:jc w:val="both"/>
            <w:rPr>
              <w:b/>
            </w:rPr>
          </w:pPr>
          <w:r>
            <w:rPr>
              <w:b/>
            </w:rPr>
            <w:t>TITLE: MEDICAL CHECK UP FOR ALL EMPLOYEES</w:t>
          </w:r>
        </w:p>
      </w:tc>
    </w:tr>
  </w:tbl>
  <w:p>
    <w:pPr>
      <w:pStyle w:val="7"/>
      <w:jc w:val="both"/>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0656" w:type="dxa"/>
      <w:tblInd w:w="-702" w:type="dxa"/>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Layout w:type="fixed"/>
      <w:tblCellMar>
        <w:top w:w="0" w:type="dxa"/>
        <w:left w:w="108" w:type="dxa"/>
        <w:bottom w:w="0" w:type="dxa"/>
        <w:right w:w="108" w:type="dxa"/>
      </w:tblCellMar>
    </w:tblPr>
    <w:tblGrid>
      <w:gridCol w:w="2258"/>
      <w:gridCol w:w="1896"/>
      <w:gridCol w:w="2709"/>
      <w:gridCol w:w="2077"/>
      <w:gridCol w:w="1716"/>
    </w:tblGrid>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288" w:hRule="atLeast"/>
      </w:trPr>
      <w:tc>
        <w:tcPr>
          <w:tcW w:w="2258" w:type="dxa"/>
          <w:vMerge w:val="restart"/>
          <w:tcBorders>
            <w:top w:val="single" w:color="auto" w:sz="12" w:space="0"/>
            <w:left w:val="single" w:color="auto" w:sz="12" w:space="0"/>
            <w:right w:val="single" w:color="auto" w:sz="12" w:space="0"/>
          </w:tcBorders>
          <w:vAlign w:val="center"/>
        </w:tcPr>
        <w:p>
          <w:pPr>
            <w:ind w:left="792" w:hanging="792"/>
            <w:jc w:val="center"/>
            <w:rPr>
              <w:b/>
              <w:sz w:val="28"/>
              <w:szCs w:val="28"/>
            </w:rPr>
          </w:pPr>
          <w:r>
            <w:rPr>
              <w:b/>
              <w:sz w:val="28"/>
              <w:szCs w:val="28"/>
              <w:lang w:val="en-IN" w:eastAsia="en-IN"/>
            </w:rPr>
            <w:drawing>
              <wp:anchor distT="0" distB="0" distL="114300" distR="114300" simplePos="0" relativeHeight="251659264"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discoverypharma.com/images/top-links_01.gif"/>
                        <pic:cNvPicPr>
                          <a:picLocks noChangeAspect="1" noChangeArrowheads="1"/>
                        </pic:cNvPicPr>
                      </pic:nvPicPr>
                      <pic:blipFill>
                        <a:blip r:embed="rId1"/>
                        <a:srcRect/>
                        <a:stretch>
                          <a:fillRect/>
                        </a:stretch>
                      </pic:blipFill>
                      <pic:spPr>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color="auto" w:sz="12" w:space="0"/>
            <w:left w:val="single" w:color="auto" w:sz="12" w:space="0"/>
            <w:bottom w:val="single" w:color="auto" w:sz="8" w:space="0"/>
            <w:right w:val="single" w:color="auto" w:sz="12" w:space="0"/>
          </w:tcBorders>
          <w:vAlign w:val="center"/>
        </w:tcPr>
        <w:p>
          <w:pPr>
            <w:ind w:left="792" w:hanging="792"/>
            <w:jc w:val="center"/>
            <w:rPr>
              <w:b/>
              <w:sz w:val="28"/>
              <w:szCs w:val="28"/>
            </w:rPr>
          </w:pPr>
          <w:r>
            <w:rPr>
              <w:b/>
              <w:sz w:val="28"/>
              <w:szCs w:val="28"/>
            </w:rPr>
            <w:t>DISCOVERY INTERMEDIATE PRIVATE LIMITED</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288" w:hRule="atLeast"/>
      </w:trPr>
      <w:tc>
        <w:tcPr>
          <w:tcW w:w="2258" w:type="dxa"/>
          <w:vMerge w:val="continue"/>
          <w:tcBorders>
            <w:left w:val="single" w:color="auto" w:sz="12" w:space="0"/>
            <w:right w:val="single" w:color="auto" w:sz="12" w:space="0"/>
          </w:tcBorders>
          <w:vAlign w:val="center"/>
        </w:tcPr>
        <w:p>
          <w:pPr>
            <w:jc w:val="center"/>
            <w:rPr>
              <w:b/>
            </w:rPr>
          </w:pPr>
        </w:p>
      </w:tc>
      <w:tc>
        <w:tcPr>
          <w:tcW w:w="8398" w:type="dxa"/>
          <w:gridSpan w:val="4"/>
          <w:tcBorders>
            <w:top w:val="single" w:color="auto" w:sz="8" w:space="0"/>
            <w:left w:val="single" w:color="auto" w:sz="12" w:space="0"/>
            <w:bottom w:val="single" w:color="auto" w:sz="12" w:space="0"/>
            <w:right w:val="single" w:color="auto" w:sz="12" w:space="0"/>
          </w:tcBorders>
          <w:vAlign w:val="center"/>
        </w:tcPr>
        <w:p>
          <w:pPr>
            <w:jc w:val="center"/>
            <w:rPr>
              <w:b/>
            </w:rPr>
          </w:pPr>
          <w:r>
            <w:rPr>
              <w:b/>
            </w:rPr>
            <w:t>STANDARD OPERATING PROCEDURE</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right w:val="single" w:color="auto" w:sz="12" w:space="0"/>
          </w:tcBorders>
          <w:vAlign w:val="center"/>
        </w:tcPr>
        <w:p/>
      </w:tc>
      <w:tc>
        <w:tcPr>
          <w:tcW w:w="1896" w:type="dxa"/>
          <w:tcBorders>
            <w:top w:val="single" w:color="auto" w:sz="12" w:space="0"/>
            <w:left w:val="single" w:color="auto" w:sz="12" w:space="0"/>
            <w:bottom w:val="single" w:color="auto" w:sz="6" w:space="0"/>
            <w:right w:val="single" w:color="auto" w:sz="8" w:space="0"/>
          </w:tcBorders>
          <w:vAlign w:val="center"/>
        </w:tcPr>
        <w:p>
          <w:r>
            <w:t xml:space="preserve">SOP No.: </w:t>
          </w:r>
        </w:p>
      </w:tc>
      <w:tc>
        <w:tcPr>
          <w:tcW w:w="2709" w:type="dxa"/>
          <w:tcBorders>
            <w:top w:val="single" w:color="auto" w:sz="12" w:space="0"/>
            <w:left w:val="single" w:color="auto" w:sz="8" w:space="0"/>
            <w:bottom w:val="single" w:color="auto" w:sz="6" w:space="0"/>
            <w:right w:val="single" w:color="auto" w:sz="12" w:space="0"/>
          </w:tcBorders>
          <w:vAlign w:val="center"/>
        </w:tcPr>
        <w:p>
          <w:r>
            <w:t>SOP-QA-001-04</w:t>
          </w:r>
        </w:p>
      </w:tc>
      <w:tc>
        <w:tcPr>
          <w:tcW w:w="2077" w:type="dxa"/>
          <w:tcBorders>
            <w:top w:val="single" w:color="auto" w:sz="12" w:space="0"/>
            <w:left w:val="single" w:color="auto" w:sz="12" w:space="0"/>
            <w:bottom w:val="single" w:color="auto" w:sz="6" w:space="0"/>
            <w:right w:val="single" w:color="auto" w:sz="8" w:space="0"/>
          </w:tcBorders>
          <w:vAlign w:val="center"/>
        </w:tcPr>
        <w:p>
          <w:r>
            <w:t>Effective Date:</w:t>
          </w:r>
        </w:p>
      </w:tc>
      <w:tc>
        <w:tcPr>
          <w:tcW w:w="1716" w:type="dxa"/>
          <w:tcBorders>
            <w:top w:val="single" w:color="auto" w:sz="12" w:space="0"/>
            <w:left w:val="single" w:color="auto" w:sz="8" w:space="0"/>
            <w:bottom w:val="single" w:color="auto" w:sz="6" w:space="0"/>
            <w:right w:val="single" w:color="auto" w:sz="12" w:space="0"/>
          </w:tcBorders>
          <w:vAlign w:val="center"/>
        </w:tcPr>
        <w:p>
          <w:pPr>
            <w:jc w:val="center"/>
          </w:pPr>
          <w:r>
            <w:t>01.11.2016</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right w:val="single" w:color="auto" w:sz="12" w:space="0"/>
          </w:tcBorders>
          <w:vAlign w:val="center"/>
        </w:tcPr>
        <w:p/>
      </w:tc>
      <w:tc>
        <w:tcPr>
          <w:tcW w:w="1896" w:type="dxa"/>
          <w:tcBorders>
            <w:top w:val="single" w:color="auto" w:sz="6" w:space="0"/>
            <w:left w:val="single" w:color="auto" w:sz="12" w:space="0"/>
            <w:bottom w:val="single" w:color="auto" w:sz="6" w:space="0"/>
            <w:right w:val="single" w:color="auto" w:sz="6" w:space="0"/>
          </w:tcBorders>
          <w:vAlign w:val="center"/>
        </w:tcPr>
        <w:p>
          <w:r>
            <w:t xml:space="preserve">Supersedes : </w:t>
          </w:r>
        </w:p>
      </w:tc>
      <w:tc>
        <w:tcPr>
          <w:tcW w:w="2709" w:type="dxa"/>
          <w:tcBorders>
            <w:top w:val="single" w:color="auto" w:sz="6" w:space="0"/>
            <w:left w:val="single" w:color="auto" w:sz="6" w:space="0"/>
            <w:bottom w:val="single" w:color="auto" w:sz="6" w:space="0"/>
            <w:right w:val="single" w:color="auto" w:sz="12" w:space="0"/>
          </w:tcBorders>
          <w:vAlign w:val="center"/>
        </w:tcPr>
        <w:p>
          <w:r>
            <w:t>SOP-QA-001-03</w:t>
          </w:r>
        </w:p>
      </w:tc>
      <w:tc>
        <w:tcPr>
          <w:tcW w:w="2077" w:type="dxa"/>
          <w:tcBorders>
            <w:top w:val="single" w:color="auto" w:sz="6" w:space="0"/>
            <w:left w:val="single" w:color="auto" w:sz="12" w:space="0"/>
            <w:bottom w:val="single" w:color="auto" w:sz="6" w:space="0"/>
            <w:right w:val="single" w:color="auto" w:sz="8" w:space="0"/>
          </w:tcBorders>
          <w:vAlign w:val="center"/>
        </w:tcPr>
        <w:p>
          <w:r>
            <w:t>Next Review Date:</w:t>
          </w:r>
        </w:p>
      </w:tc>
      <w:tc>
        <w:tcPr>
          <w:tcW w:w="1716" w:type="dxa"/>
          <w:tcBorders>
            <w:top w:val="single" w:color="auto" w:sz="6" w:space="0"/>
            <w:left w:val="single" w:color="auto" w:sz="8" w:space="0"/>
            <w:bottom w:val="single" w:color="auto" w:sz="6" w:space="0"/>
            <w:right w:val="single" w:color="auto" w:sz="12" w:space="0"/>
          </w:tcBorders>
          <w:vAlign w:val="center"/>
        </w:tcPr>
        <w:p>
          <w:pPr>
            <w:jc w:val="center"/>
          </w:pPr>
          <w:r>
            <w:t>31.10.2019</w:t>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2258" w:type="dxa"/>
          <w:vMerge w:val="continue"/>
          <w:tcBorders>
            <w:left w:val="single" w:color="auto" w:sz="12" w:space="0"/>
            <w:bottom w:val="single" w:color="auto" w:sz="12" w:space="0"/>
            <w:right w:val="single" w:color="auto" w:sz="12" w:space="0"/>
          </w:tcBorders>
          <w:vAlign w:val="center"/>
        </w:tcPr>
        <w:p/>
      </w:tc>
      <w:tc>
        <w:tcPr>
          <w:tcW w:w="1896" w:type="dxa"/>
          <w:tcBorders>
            <w:top w:val="single" w:color="auto" w:sz="6" w:space="0"/>
            <w:left w:val="single" w:color="auto" w:sz="12" w:space="0"/>
            <w:bottom w:val="single" w:color="auto" w:sz="12" w:space="0"/>
            <w:right w:val="single" w:color="auto" w:sz="6" w:space="0"/>
          </w:tcBorders>
          <w:vAlign w:val="center"/>
        </w:tcPr>
        <w:p>
          <w:r>
            <w:t>Department:</w:t>
          </w:r>
        </w:p>
      </w:tc>
      <w:tc>
        <w:tcPr>
          <w:tcW w:w="2709" w:type="dxa"/>
          <w:tcBorders>
            <w:top w:val="single" w:color="auto" w:sz="6" w:space="0"/>
            <w:left w:val="single" w:color="auto" w:sz="6" w:space="0"/>
            <w:bottom w:val="single" w:color="auto" w:sz="12" w:space="0"/>
            <w:right w:val="single" w:color="auto" w:sz="12" w:space="0"/>
          </w:tcBorders>
          <w:vAlign w:val="center"/>
        </w:tcPr>
        <w:p>
          <w:r>
            <w:t>Quality Assurance</w:t>
          </w:r>
        </w:p>
      </w:tc>
      <w:tc>
        <w:tcPr>
          <w:tcW w:w="2077" w:type="dxa"/>
          <w:tcBorders>
            <w:top w:val="single" w:color="auto" w:sz="6" w:space="0"/>
            <w:left w:val="single" w:color="auto" w:sz="12" w:space="0"/>
            <w:bottom w:val="single" w:color="auto" w:sz="12" w:space="0"/>
            <w:right w:val="single" w:color="auto" w:sz="8" w:space="0"/>
          </w:tcBorders>
          <w:vAlign w:val="center"/>
        </w:tcPr>
        <w:p>
          <w:r>
            <w:t>Page:</w:t>
          </w:r>
        </w:p>
      </w:tc>
      <w:tc>
        <w:tcPr>
          <w:tcW w:w="1716" w:type="dxa"/>
          <w:tcBorders>
            <w:top w:val="single" w:color="auto" w:sz="6" w:space="0"/>
            <w:left w:val="single" w:color="auto" w:sz="8" w:space="0"/>
            <w:bottom w:val="single" w:color="auto" w:sz="12" w:space="0"/>
            <w:right w:val="single" w:color="auto" w:sz="12" w:space="0"/>
          </w:tcBorders>
          <w:vAlign w:val="center"/>
        </w:tcPr>
        <w:p>
          <w:pPr>
            <w:jc w:val="center"/>
          </w:pPr>
          <w:r>
            <w:fldChar w:fldCharType="begin"/>
          </w:r>
          <w:r>
            <w:instrText xml:space="preserve"> PAGE </w:instrText>
          </w:r>
          <w:r>
            <w:fldChar w:fldCharType="separate"/>
          </w:r>
          <w:r>
            <w:t>1</w:t>
          </w:r>
          <w:r>
            <w:fldChar w:fldCharType="end"/>
          </w:r>
          <w:r>
            <w:t xml:space="preserve"> of </w:t>
          </w:r>
          <w:r>
            <w:fldChar w:fldCharType="begin"/>
          </w:r>
          <w:r>
            <w:instrText xml:space="preserve"> NUMPAGES </w:instrText>
          </w:r>
          <w:r>
            <w:fldChar w:fldCharType="separate"/>
          </w:r>
          <w:r>
            <w:t>2</w:t>
          </w:r>
          <w:r>
            <w:fldChar w:fldCharType="end"/>
          </w:r>
        </w:p>
      </w:tc>
    </w:tr>
    <w:tr>
      <w:tblPrEx>
        <w:tblBorders>
          <w:top w:val="single" w:color="auto" w:sz="18" w:space="0"/>
          <w:left w:val="single" w:color="auto" w:sz="18" w:space="0"/>
          <w:bottom w:val="single" w:color="auto" w:sz="18" w:space="0"/>
          <w:right w:val="single" w:color="auto" w:sz="18" w:space="0"/>
          <w:insideH w:val="single" w:color="auto" w:sz="6" w:space="0"/>
          <w:insideV w:val="single" w:color="auto" w:sz="6" w:space="0"/>
        </w:tblBorders>
        <w:tblCellMar>
          <w:top w:w="0" w:type="dxa"/>
          <w:left w:w="108" w:type="dxa"/>
          <w:bottom w:w="0" w:type="dxa"/>
          <w:right w:w="108" w:type="dxa"/>
        </w:tblCellMar>
      </w:tblPrEx>
      <w:trPr>
        <w:cantSplit/>
        <w:trHeight w:val="490" w:hRule="atLeast"/>
      </w:trPr>
      <w:tc>
        <w:tcPr>
          <w:tcW w:w="10656" w:type="dxa"/>
          <w:gridSpan w:val="5"/>
          <w:tcBorders>
            <w:top w:val="single" w:color="auto" w:sz="12" w:space="0"/>
            <w:left w:val="single" w:color="auto" w:sz="12" w:space="0"/>
            <w:bottom w:val="single" w:color="auto" w:sz="12" w:space="0"/>
            <w:right w:val="single" w:color="auto" w:sz="12" w:space="0"/>
          </w:tcBorders>
          <w:vAlign w:val="center"/>
        </w:tcPr>
        <w:p>
          <w:pPr>
            <w:ind w:left="936" w:hanging="936"/>
            <w:jc w:val="both"/>
            <w:rPr>
              <w:b/>
            </w:rPr>
          </w:pPr>
          <w:r>
            <w:rPr>
              <w:b/>
            </w:rPr>
            <w:t xml:space="preserve">TITLE: </w:t>
          </w:r>
          <w:r>
            <w:rPr>
              <w:b/>
              <w:caps/>
            </w:rPr>
            <w:t>procedure for preparation of standard operating procedures    (SOP on SOP)</w:t>
          </w:r>
        </w:p>
      </w:tc>
    </w:tr>
  </w:tbl>
  <w:p>
    <w:pPr>
      <w:pStyle w:val="7"/>
      <w:tabs>
        <w:tab w:val="left" w:pos="1440"/>
        <w:tab w:val="clear" w:pos="4320"/>
        <w:tab w:val="clear" w:pos="8640"/>
      </w:tabs>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7B3BAA"/>
    <w:multiLevelType w:val="multilevel"/>
    <w:tmpl w:val="3A7B3B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88516CA"/>
    <w:multiLevelType w:val="multilevel"/>
    <w:tmpl w:val="688516CA"/>
    <w:lvl w:ilvl="0" w:tentative="0">
      <w:start w:val="1"/>
      <w:numFmt w:val="decimal"/>
      <w:lvlText w:val="%1.0"/>
      <w:lvlJc w:val="left"/>
      <w:pPr>
        <w:tabs>
          <w:tab w:val="left" w:pos="720"/>
        </w:tabs>
        <w:ind w:left="720" w:hanging="720"/>
      </w:pPr>
      <w:rPr>
        <w:rFonts w:hint="default"/>
        <w:b/>
      </w:rPr>
    </w:lvl>
    <w:lvl w:ilvl="1" w:tentative="0">
      <w:start w:val="1"/>
      <w:numFmt w:val="decimal"/>
      <w:lvlText w:val="%1.%2"/>
      <w:lvlJc w:val="left"/>
      <w:pPr>
        <w:tabs>
          <w:tab w:val="left" w:pos="720"/>
        </w:tabs>
        <w:ind w:left="720" w:hanging="720"/>
      </w:pPr>
      <w:rPr>
        <w:rFonts w:hint="default"/>
        <w:b w:val="0"/>
      </w:rPr>
    </w:lvl>
    <w:lvl w:ilvl="2" w:tentative="0">
      <w:start w:val="1"/>
      <w:numFmt w:val="decimal"/>
      <w:lvlText w:val="%1.%2.%3"/>
      <w:lvlJc w:val="left"/>
      <w:pPr>
        <w:tabs>
          <w:tab w:val="left" w:pos="2160"/>
        </w:tabs>
        <w:ind w:left="2160" w:hanging="720"/>
      </w:pPr>
      <w:rPr>
        <w:rFonts w:hint="default"/>
        <w:b w:val="0"/>
      </w:rPr>
    </w:lvl>
    <w:lvl w:ilvl="3" w:tentative="0">
      <w:start w:val="1"/>
      <w:numFmt w:val="decimal"/>
      <w:lvlText w:val="%1.%2.%3.%4"/>
      <w:lvlJc w:val="left"/>
      <w:pPr>
        <w:tabs>
          <w:tab w:val="left" w:pos="2250"/>
        </w:tabs>
        <w:ind w:left="2250" w:hanging="720"/>
      </w:pPr>
      <w:rPr>
        <w:rFonts w:hint="default"/>
        <w:b w:val="0"/>
      </w:rPr>
    </w:lvl>
    <w:lvl w:ilvl="4" w:tentative="0">
      <w:start w:val="1"/>
      <w:numFmt w:val="decimal"/>
      <w:lvlText w:val="%1.%2.%3.%4.%5"/>
      <w:lvlJc w:val="left"/>
      <w:pPr>
        <w:tabs>
          <w:tab w:val="left" w:pos="3960"/>
        </w:tabs>
        <w:ind w:left="3960" w:hanging="1080"/>
      </w:pPr>
      <w:rPr>
        <w:rFonts w:hint="default"/>
        <w:b w:val="0"/>
      </w:rPr>
    </w:lvl>
    <w:lvl w:ilvl="5" w:tentative="0">
      <w:start w:val="1"/>
      <w:numFmt w:val="decimal"/>
      <w:lvlText w:val="%1.%2.%3.%4.%5.%6"/>
      <w:lvlJc w:val="left"/>
      <w:pPr>
        <w:tabs>
          <w:tab w:val="left" w:pos="4680"/>
        </w:tabs>
        <w:ind w:left="4680" w:hanging="1080"/>
      </w:pPr>
      <w:rPr>
        <w:rFonts w:hint="default"/>
        <w:b w:val="0"/>
      </w:rPr>
    </w:lvl>
    <w:lvl w:ilvl="6" w:tentative="0">
      <w:start w:val="1"/>
      <w:numFmt w:val="decimal"/>
      <w:lvlText w:val="%1.%2.%3.%4.%5.%6.%7"/>
      <w:lvlJc w:val="left"/>
      <w:pPr>
        <w:tabs>
          <w:tab w:val="left" w:pos="5760"/>
        </w:tabs>
        <w:ind w:left="5760" w:hanging="1440"/>
      </w:pPr>
      <w:rPr>
        <w:rFonts w:hint="default"/>
        <w:b/>
      </w:rPr>
    </w:lvl>
    <w:lvl w:ilvl="7" w:tentative="0">
      <w:start w:val="1"/>
      <w:numFmt w:val="decimal"/>
      <w:lvlText w:val="%1.%2.%3.%4.%5.%6.%7.%8"/>
      <w:lvlJc w:val="left"/>
      <w:pPr>
        <w:tabs>
          <w:tab w:val="left" w:pos="6480"/>
        </w:tabs>
        <w:ind w:left="6480" w:hanging="1440"/>
      </w:pPr>
      <w:rPr>
        <w:rFonts w:hint="default"/>
        <w:b/>
      </w:rPr>
    </w:lvl>
    <w:lvl w:ilvl="8" w:tentative="0">
      <w:start w:val="1"/>
      <w:numFmt w:val="decimal"/>
      <w:lvlText w:val="%1.%2.%3.%4.%5.%6.%7.%8.%9"/>
      <w:lvlJc w:val="left"/>
      <w:pPr>
        <w:tabs>
          <w:tab w:val="left" w:pos="7560"/>
        </w:tabs>
        <w:ind w:left="7560" w:hanging="1800"/>
      </w:pPr>
      <w:rPr>
        <w:rFonts w:hint="default"/>
        <w:b/>
      </w:rPr>
    </w:lvl>
  </w:abstractNum>
  <w:abstractNum w:abstractNumId="2">
    <w:nsid w:val="78B5188F"/>
    <w:multiLevelType w:val="multilevel"/>
    <w:tmpl w:val="78B5188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HorizontalSpacing w:val="120"/>
  <w:displayHorizontalDrawingGridEvery w:val="2"/>
  <w:characterSpacingControl w:val="doNotCompress"/>
  <w:compat>
    <w:compatSetting w:name="compatibilityMode" w:uri="http://schemas.microsoft.com/office/word" w:val="12"/>
  </w:compat>
  <w:rsids>
    <w:rsidRoot w:val="00DE6D09"/>
    <w:rsid w:val="00003100"/>
    <w:rsid w:val="000036BD"/>
    <w:rsid w:val="00004645"/>
    <w:rsid w:val="00005006"/>
    <w:rsid w:val="000055BD"/>
    <w:rsid w:val="000072A9"/>
    <w:rsid w:val="000075D0"/>
    <w:rsid w:val="00010B80"/>
    <w:rsid w:val="000115BB"/>
    <w:rsid w:val="00012892"/>
    <w:rsid w:val="00014E93"/>
    <w:rsid w:val="00015598"/>
    <w:rsid w:val="0001625F"/>
    <w:rsid w:val="00017079"/>
    <w:rsid w:val="0001746B"/>
    <w:rsid w:val="00017AAF"/>
    <w:rsid w:val="00020B94"/>
    <w:rsid w:val="00020CA3"/>
    <w:rsid w:val="00022909"/>
    <w:rsid w:val="0002390F"/>
    <w:rsid w:val="00024E7A"/>
    <w:rsid w:val="00025D3C"/>
    <w:rsid w:val="0002653F"/>
    <w:rsid w:val="00026C2A"/>
    <w:rsid w:val="0002789C"/>
    <w:rsid w:val="00030B58"/>
    <w:rsid w:val="00030C6E"/>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0C"/>
    <w:rsid w:val="000426CA"/>
    <w:rsid w:val="00042CDD"/>
    <w:rsid w:val="00044E65"/>
    <w:rsid w:val="00046B62"/>
    <w:rsid w:val="00047636"/>
    <w:rsid w:val="0004766C"/>
    <w:rsid w:val="00047A3D"/>
    <w:rsid w:val="00047E66"/>
    <w:rsid w:val="00050557"/>
    <w:rsid w:val="000505E8"/>
    <w:rsid w:val="00051A6A"/>
    <w:rsid w:val="000521C8"/>
    <w:rsid w:val="000525EA"/>
    <w:rsid w:val="00053157"/>
    <w:rsid w:val="000533AF"/>
    <w:rsid w:val="00053B20"/>
    <w:rsid w:val="00056761"/>
    <w:rsid w:val="00056888"/>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2F8"/>
    <w:rsid w:val="00067A78"/>
    <w:rsid w:val="00071753"/>
    <w:rsid w:val="0007188B"/>
    <w:rsid w:val="00071B95"/>
    <w:rsid w:val="00072A51"/>
    <w:rsid w:val="00073948"/>
    <w:rsid w:val="00073A20"/>
    <w:rsid w:val="00074D9D"/>
    <w:rsid w:val="000773A3"/>
    <w:rsid w:val="00077D90"/>
    <w:rsid w:val="00081137"/>
    <w:rsid w:val="00081370"/>
    <w:rsid w:val="00081688"/>
    <w:rsid w:val="00082188"/>
    <w:rsid w:val="0008260F"/>
    <w:rsid w:val="00082F43"/>
    <w:rsid w:val="00082FB6"/>
    <w:rsid w:val="000832D2"/>
    <w:rsid w:val="000838A4"/>
    <w:rsid w:val="00083EA4"/>
    <w:rsid w:val="000842C3"/>
    <w:rsid w:val="0008456D"/>
    <w:rsid w:val="00084915"/>
    <w:rsid w:val="00084FC7"/>
    <w:rsid w:val="00085C2C"/>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3DFE"/>
    <w:rsid w:val="000A403F"/>
    <w:rsid w:val="000A4C28"/>
    <w:rsid w:val="000A5CFC"/>
    <w:rsid w:val="000A7495"/>
    <w:rsid w:val="000A7758"/>
    <w:rsid w:val="000A77B3"/>
    <w:rsid w:val="000A79AC"/>
    <w:rsid w:val="000B094B"/>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9D3"/>
    <w:rsid w:val="000D5832"/>
    <w:rsid w:val="000D64DC"/>
    <w:rsid w:val="000D671E"/>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BD7"/>
    <w:rsid w:val="000F7E40"/>
    <w:rsid w:val="001014C7"/>
    <w:rsid w:val="0010193F"/>
    <w:rsid w:val="00101C2A"/>
    <w:rsid w:val="00101E81"/>
    <w:rsid w:val="00102AA0"/>
    <w:rsid w:val="00102F94"/>
    <w:rsid w:val="00103887"/>
    <w:rsid w:val="00103929"/>
    <w:rsid w:val="00103F86"/>
    <w:rsid w:val="001046ED"/>
    <w:rsid w:val="00104ECB"/>
    <w:rsid w:val="00105401"/>
    <w:rsid w:val="0010690B"/>
    <w:rsid w:val="00106D37"/>
    <w:rsid w:val="00107275"/>
    <w:rsid w:val="00111C68"/>
    <w:rsid w:val="00111E3A"/>
    <w:rsid w:val="00113018"/>
    <w:rsid w:val="00113906"/>
    <w:rsid w:val="00113D8B"/>
    <w:rsid w:val="001146DE"/>
    <w:rsid w:val="00114BEF"/>
    <w:rsid w:val="0011540D"/>
    <w:rsid w:val="00116220"/>
    <w:rsid w:val="00116941"/>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7AED"/>
    <w:rsid w:val="00130AC1"/>
    <w:rsid w:val="0013143D"/>
    <w:rsid w:val="00131951"/>
    <w:rsid w:val="00132914"/>
    <w:rsid w:val="00132FAC"/>
    <w:rsid w:val="00133A1A"/>
    <w:rsid w:val="00134E33"/>
    <w:rsid w:val="00135BAF"/>
    <w:rsid w:val="00136B8B"/>
    <w:rsid w:val="00136D27"/>
    <w:rsid w:val="00137EF2"/>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5542"/>
    <w:rsid w:val="001672DE"/>
    <w:rsid w:val="001716C9"/>
    <w:rsid w:val="00172349"/>
    <w:rsid w:val="00172D6C"/>
    <w:rsid w:val="00172F32"/>
    <w:rsid w:val="0017436B"/>
    <w:rsid w:val="001750CA"/>
    <w:rsid w:val="00175101"/>
    <w:rsid w:val="001760D7"/>
    <w:rsid w:val="0017660C"/>
    <w:rsid w:val="00176BC9"/>
    <w:rsid w:val="00176C52"/>
    <w:rsid w:val="00176C56"/>
    <w:rsid w:val="001772CA"/>
    <w:rsid w:val="00177A71"/>
    <w:rsid w:val="00181013"/>
    <w:rsid w:val="00181945"/>
    <w:rsid w:val="00182889"/>
    <w:rsid w:val="001832CA"/>
    <w:rsid w:val="0018497D"/>
    <w:rsid w:val="00184DCE"/>
    <w:rsid w:val="001861E1"/>
    <w:rsid w:val="00186816"/>
    <w:rsid w:val="00190E57"/>
    <w:rsid w:val="00192087"/>
    <w:rsid w:val="00192864"/>
    <w:rsid w:val="00192B49"/>
    <w:rsid w:val="00192DF9"/>
    <w:rsid w:val="00193D2D"/>
    <w:rsid w:val="00194EA3"/>
    <w:rsid w:val="0019529A"/>
    <w:rsid w:val="0019557A"/>
    <w:rsid w:val="00195E5C"/>
    <w:rsid w:val="001968B4"/>
    <w:rsid w:val="001A0BF6"/>
    <w:rsid w:val="001A0EFA"/>
    <w:rsid w:val="001A13A9"/>
    <w:rsid w:val="001A14AD"/>
    <w:rsid w:val="001A1730"/>
    <w:rsid w:val="001A2AF0"/>
    <w:rsid w:val="001A2E60"/>
    <w:rsid w:val="001A2FF9"/>
    <w:rsid w:val="001A494F"/>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4451"/>
    <w:rsid w:val="001B4E35"/>
    <w:rsid w:val="001B55E5"/>
    <w:rsid w:val="001C0608"/>
    <w:rsid w:val="001C072E"/>
    <w:rsid w:val="001C24B0"/>
    <w:rsid w:val="001C2895"/>
    <w:rsid w:val="001C2BA3"/>
    <w:rsid w:val="001C32F4"/>
    <w:rsid w:val="001C43E7"/>
    <w:rsid w:val="001C45BC"/>
    <w:rsid w:val="001C46B1"/>
    <w:rsid w:val="001C4FF4"/>
    <w:rsid w:val="001C529E"/>
    <w:rsid w:val="001C5363"/>
    <w:rsid w:val="001C64DC"/>
    <w:rsid w:val="001C6CEC"/>
    <w:rsid w:val="001D134E"/>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EC"/>
    <w:rsid w:val="001E3253"/>
    <w:rsid w:val="001E34AE"/>
    <w:rsid w:val="001E35C3"/>
    <w:rsid w:val="001E3BA8"/>
    <w:rsid w:val="001E4DB4"/>
    <w:rsid w:val="001E6016"/>
    <w:rsid w:val="001E7242"/>
    <w:rsid w:val="001E7C5B"/>
    <w:rsid w:val="001F0BC0"/>
    <w:rsid w:val="001F0CEE"/>
    <w:rsid w:val="001F0F69"/>
    <w:rsid w:val="001F1E08"/>
    <w:rsid w:val="001F29E5"/>
    <w:rsid w:val="001F3E17"/>
    <w:rsid w:val="001F45BB"/>
    <w:rsid w:val="001F474F"/>
    <w:rsid w:val="001F4A71"/>
    <w:rsid w:val="001F5919"/>
    <w:rsid w:val="001F5BEB"/>
    <w:rsid w:val="001F6213"/>
    <w:rsid w:val="001F70D1"/>
    <w:rsid w:val="001F7B39"/>
    <w:rsid w:val="00200D9A"/>
    <w:rsid w:val="0020185D"/>
    <w:rsid w:val="00201DA4"/>
    <w:rsid w:val="00202962"/>
    <w:rsid w:val="002031A5"/>
    <w:rsid w:val="002034E3"/>
    <w:rsid w:val="00203F79"/>
    <w:rsid w:val="00204543"/>
    <w:rsid w:val="00206CAA"/>
    <w:rsid w:val="00206EEE"/>
    <w:rsid w:val="002104DB"/>
    <w:rsid w:val="0021112A"/>
    <w:rsid w:val="00211791"/>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3FC6"/>
    <w:rsid w:val="00254023"/>
    <w:rsid w:val="002551D5"/>
    <w:rsid w:val="002558F6"/>
    <w:rsid w:val="00255A6B"/>
    <w:rsid w:val="00255B46"/>
    <w:rsid w:val="00256924"/>
    <w:rsid w:val="0025693E"/>
    <w:rsid w:val="00256DB5"/>
    <w:rsid w:val="0025700C"/>
    <w:rsid w:val="002574DE"/>
    <w:rsid w:val="002636F4"/>
    <w:rsid w:val="0026521B"/>
    <w:rsid w:val="002676DD"/>
    <w:rsid w:val="002719AA"/>
    <w:rsid w:val="002721D3"/>
    <w:rsid w:val="00272CAD"/>
    <w:rsid w:val="00272E85"/>
    <w:rsid w:val="002754D8"/>
    <w:rsid w:val="00275992"/>
    <w:rsid w:val="0027684B"/>
    <w:rsid w:val="00276C6B"/>
    <w:rsid w:val="00277C11"/>
    <w:rsid w:val="00277C69"/>
    <w:rsid w:val="00280272"/>
    <w:rsid w:val="002808AA"/>
    <w:rsid w:val="002810AC"/>
    <w:rsid w:val="00283E3D"/>
    <w:rsid w:val="002843EA"/>
    <w:rsid w:val="002844EB"/>
    <w:rsid w:val="002853AA"/>
    <w:rsid w:val="00285D59"/>
    <w:rsid w:val="00285E4E"/>
    <w:rsid w:val="002861D5"/>
    <w:rsid w:val="0028637A"/>
    <w:rsid w:val="00286489"/>
    <w:rsid w:val="002866CC"/>
    <w:rsid w:val="002874A1"/>
    <w:rsid w:val="00290497"/>
    <w:rsid w:val="0029058A"/>
    <w:rsid w:val="00291348"/>
    <w:rsid w:val="002923A3"/>
    <w:rsid w:val="002930D6"/>
    <w:rsid w:val="00294065"/>
    <w:rsid w:val="00295B03"/>
    <w:rsid w:val="00296634"/>
    <w:rsid w:val="00297D02"/>
    <w:rsid w:val="00297FC5"/>
    <w:rsid w:val="002A023F"/>
    <w:rsid w:val="002A06C6"/>
    <w:rsid w:val="002A0D2B"/>
    <w:rsid w:val="002A0F19"/>
    <w:rsid w:val="002A1A48"/>
    <w:rsid w:val="002A1D21"/>
    <w:rsid w:val="002A239B"/>
    <w:rsid w:val="002A30D1"/>
    <w:rsid w:val="002A51A0"/>
    <w:rsid w:val="002A5383"/>
    <w:rsid w:val="002A5D51"/>
    <w:rsid w:val="002A6012"/>
    <w:rsid w:val="002A7740"/>
    <w:rsid w:val="002A7AAF"/>
    <w:rsid w:val="002B0809"/>
    <w:rsid w:val="002B1310"/>
    <w:rsid w:val="002B1439"/>
    <w:rsid w:val="002B23B6"/>
    <w:rsid w:val="002B30F0"/>
    <w:rsid w:val="002B3B24"/>
    <w:rsid w:val="002B3EA4"/>
    <w:rsid w:val="002B51DE"/>
    <w:rsid w:val="002B59A2"/>
    <w:rsid w:val="002B64FB"/>
    <w:rsid w:val="002B664E"/>
    <w:rsid w:val="002B6760"/>
    <w:rsid w:val="002B6D1D"/>
    <w:rsid w:val="002C14A9"/>
    <w:rsid w:val="002C192B"/>
    <w:rsid w:val="002C2465"/>
    <w:rsid w:val="002C2784"/>
    <w:rsid w:val="002C29DB"/>
    <w:rsid w:val="002C2CD9"/>
    <w:rsid w:val="002C462C"/>
    <w:rsid w:val="002C5DEB"/>
    <w:rsid w:val="002C64D9"/>
    <w:rsid w:val="002C72AB"/>
    <w:rsid w:val="002D0091"/>
    <w:rsid w:val="002D0E9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99"/>
    <w:rsid w:val="002E6CA4"/>
    <w:rsid w:val="002F07EE"/>
    <w:rsid w:val="002F0D4E"/>
    <w:rsid w:val="002F1887"/>
    <w:rsid w:val="002F1B2F"/>
    <w:rsid w:val="002F307E"/>
    <w:rsid w:val="002F3CC5"/>
    <w:rsid w:val="002F3E31"/>
    <w:rsid w:val="002F5126"/>
    <w:rsid w:val="002F5133"/>
    <w:rsid w:val="002F53C4"/>
    <w:rsid w:val="002F7BE9"/>
    <w:rsid w:val="00300D42"/>
    <w:rsid w:val="0030236B"/>
    <w:rsid w:val="003029EE"/>
    <w:rsid w:val="00302A3E"/>
    <w:rsid w:val="00303CDD"/>
    <w:rsid w:val="0030660A"/>
    <w:rsid w:val="00306F77"/>
    <w:rsid w:val="00307C43"/>
    <w:rsid w:val="003101A4"/>
    <w:rsid w:val="003108CC"/>
    <w:rsid w:val="00310931"/>
    <w:rsid w:val="003114C3"/>
    <w:rsid w:val="00311672"/>
    <w:rsid w:val="0031264D"/>
    <w:rsid w:val="003127E7"/>
    <w:rsid w:val="00312E42"/>
    <w:rsid w:val="00313D33"/>
    <w:rsid w:val="003145AA"/>
    <w:rsid w:val="00314964"/>
    <w:rsid w:val="00314AEE"/>
    <w:rsid w:val="00314B2A"/>
    <w:rsid w:val="003154CA"/>
    <w:rsid w:val="00315565"/>
    <w:rsid w:val="0031770D"/>
    <w:rsid w:val="00320AAE"/>
    <w:rsid w:val="003224D8"/>
    <w:rsid w:val="003230A1"/>
    <w:rsid w:val="003233B7"/>
    <w:rsid w:val="003236D2"/>
    <w:rsid w:val="00324484"/>
    <w:rsid w:val="00324EE0"/>
    <w:rsid w:val="00325115"/>
    <w:rsid w:val="00325EB0"/>
    <w:rsid w:val="00327339"/>
    <w:rsid w:val="003302F0"/>
    <w:rsid w:val="0033122E"/>
    <w:rsid w:val="003315C8"/>
    <w:rsid w:val="0033207D"/>
    <w:rsid w:val="00332608"/>
    <w:rsid w:val="00334034"/>
    <w:rsid w:val="003351FB"/>
    <w:rsid w:val="00335354"/>
    <w:rsid w:val="003355CA"/>
    <w:rsid w:val="0033591C"/>
    <w:rsid w:val="00335998"/>
    <w:rsid w:val="00336876"/>
    <w:rsid w:val="00340827"/>
    <w:rsid w:val="00340A47"/>
    <w:rsid w:val="00341520"/>
    <w:rsid w:val="00342B97"/>
    <w:rsid w:val="00343EF1"/>
    <w:rsid w:val="00344566"/>
    <w:rsid w:val="00344BFA"/>
    <w:rsid w:val="003456C1"/>
    <w:rsid w:val="00345BDA"/>
    <w:rsid w:val="00345D17"/>
    <w:rsid w:val="00345E9E"/>
    <w:rsid w:val="0034678A"/>
    <w:rsid w:val="00347DC5"/>
    <w:rsid w:val="003503FA"/>
    <w:rsid w:val="003522D4"/>
    <w:rsid w:val="003523DC"/>
    <w:rsid w:val="00352ACF"/>
    <w:rsid w:val="0035308F"/>
    <w:rsid w:val="003539FF"/>
    <w:rsid w:val="00353B04"/>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DEC"/>
    <w:rsid w:val="00385A4A"/>
    <w:rsid w:val="00385C03"/>
    <w:rsid w:val="00386F61"/>
    <w:rsid w:val="00386FF9"/>
    <w:rsid w:val="003878C7"/>
    <w:rsid w:val="00387CE3"/>
    <w:rsid w:val="0039021E"/>
    <w:rsid w:val="00390554"/>
    <w:rsid w:val="00391248"/>
    <w:rsid w:val="00392823"/>
    <w:rsid w:val="00392992"/>
    <w:rsid w:val="0039415E"/>
    <w:rsid w:val="00394173"/>
    <w:rsid w:val="00394BC7"/>
    <w:rsid w:val="00395B08"/>
    <w:rsid w:val="00395CED"/>
    <w:rsid w:val="00395D41"/>
    <w:rsid w:val="00395FF5"/>
    <w:rsid w:val="0039773B"/>
    <w:rsid w:val="003A0463"/>
    <w:rsid w:val="003A0C99"/>
    <w:rsid w:val="003A1194"/>
    <w:rsid w:val="003A1790"/>
    <w:rsid w:val="003A1E67"/>
    <w:rsid w:val="003A359F"/>
    <w:rsid w:val="003A378C"/>
    <w:rsid w:val="003A3BA4"/>
    <w:rsid w:val="003A49E0"/>
    <w:rsid w:val="003A601E"/>
    <w:rsid w:val="003A6191"/>
    <w:rsid w:val="003A69D9"/>
    <w:rsid w:val="003A6B3D"/>
    <w:rsid w:val="003A6DC6"/>
    <w:rsid w:val="003A71AA"/>
    <w:rsid w:val="003A76DF"/>
    <w:rsid w:val="003B0E10"/>
    <w:rsid w:val="003B1D33"/>
    <w:rsid w:val="003B2599"/>
    <w:rsid w:val="003B2FA8"/>
    <w:rsid w:val="003B37EE"/>
    <w:rsid w:val="003B3AA5"/>
    <w:rsid w:val="003B5541"/>
    <w:rsid w:val="003B6629"/>
    <w:rsid w:val="003B7ADC"/>
    <w:rsid w:val="003C05BC"/>
    <w:rsid w:val="003C1F3E"/>
    <w:rsid w:val="003C25CD"/>
    <w:rsid w:val="003C3154"/>
    <w:rsid w:val="003C36BC"/>
    <w:rsid w:val="003C38EE"/>
    <w:rsid w:val="003C41AE"/>
    <w:rsid w:val="003C4F55"/>
    <w:rsid w:val="003C56E1"/>
    <w:rsid w:val="003C64FA"/>
    <w:rsid w:val="003C6D21"/>
    <w:rsid w:val="003C7902"/>
    <w:rsid w:val="003C7EC3"/>
    <w:rsid w:val="003D147C"/>
    <w:rsid w:val="003D2572"/>
    <w:rsid w:val="003D2598"/>
    <w:rsid w:val="003D261F"/>
    <w:rsid w:val="003D366B"/>
    <w:rsid w:val="003D4297"/>
    <w:rsid w:val="003D46D6"/>
    <w:rsid w:val="003D4E28"/>
    <w:rsid w:val="003D6056"/>
    <w:rsid w:val="003D613D"/>
    <w:rsid w:val="003D63E3"/>
    <w:rsid w:val="003D6D89"/>
    <w:rsid w:val="003D6E5E"/>
    <w:rsid w:val="003D714B"/>
    <w:rsid w:val="003D74C7"/>
    <w:rsid w:val="003D76F5"/>
    <w:rsid w:val="003E0223"/>
    <w:rsid w:val="003E0A01"/>
    <w:rsid w:val="003E324A"/>
    <w:rsid w:val="003E4665"/>
    <w:rsid w:val="003E4816"/>
    <w:rsid w:val="003E626E"/>
    <w:rsid w:val="003E675F"/>
    <w:rsid w:val="003F03C1"/>
    <w:rsid w:val="003F164D"/>
    <w:rsid w:val="003F1BD5"/>
    <w:rsid w:val="003F2010"/>
    <w:rsid w:val="003F22FA"/>
    <w:rsid w:val="003F2D52"/>
    <w:rsid w:val="003F358D"/>
    <w:rsid w:val="003F410E"/>
    <w:rsid w:val="003F4361"/>
    <w:rsid w:val="003F43CA"/>
    <w:rsid w:val="003F4949"/>
    <w:rsid w:val="003F5155"/>
    <w:rsid w:val="003F5AFB"/>
    <w:rsid w:val="00401B8E"/>
    <w:rsid w:val="00402171"/>
    <w:rsid w:val="00403B61"/>
    <w:rsid w:val="00403D5D"/>
    <w:rsid w:val="00405507"/>
    <w:rsid w:val="00405B44"/>
    <w:rsid w:val="00405C26"/>
    <w:rsid w:val="00406968"/>
    <w:rsid w:val="00406F79"/>
    <w:rsid w:val="00407D00"/>
    <w:rsid w:val="00407D16"/>
    <w:rsid w:val="0041152B"/>
    <w:rsid w:val="00411B7A"/>
    <w:rsid w:val="00412C9A"/>
    <w:rsid w:val="00413C2F"/>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30CA"/>
    <w:rsid w:val="004337E9"/>
    <w:rsid w:val="0043453F"/>
    <w:rsid w:val="00436948"/>
    <w:rsid w:val="00437403"/>
    <w:rsid w:val="00437909"/>
    <w:rsid w:val="00437AF3"/>
    <w:rsid w:val="00440671"/>
    <w:rsid w:val="004413E8"/>
    <w:rsid w:val="004416C5"/>
    <w:rsid w:val="00441D3B"/>
    <w:rsid w:val="00441D6A"/>
    <w:rsid w:val="00441DBB"/>
    <w:rsid w:val="004420AB"/>
    <w:rsid w:val="00442C6F"/>
    <w:rsid w:val="00442EF9"/>
    <w:rsid w:val="00443CD5"/>
    <w:rsid w:val="00444CEB"/>
    <w:rsid w:val="004455EF"/>
    <w:rsid w:val="004459D9"/>
    <w:rsid w:val="00446003"/>
    <w:rsid w:val="0044641A"/>
    <w:rsid w:val="004465B8"/>
    <w:rsid w:val="00446B58"/>
    <w:rsid w:val="00447196"/>
    <w:rsid w:val="00447618"/>
    <w:rsid w:val="004476A5"/>
    <w:rsid w:val="00447898"/>
    <w:rsid w:val="004507F2"/>
    <w:rsid w:val="00450850"/>
    <w:rsid w:val="00452509"/>
    <w:rsid w:val="0045278F"/>
    <w:rsid w:val="00453EB5"/>
    <w:rsid w:val="00454010"/>
    <w:rsid w:val="00454605"/>
    <w:rsid w:val="0045572F"/>
    <w:rsid w:val="00456257"/>
    <w:rsid w:val="00456C48"/>
    <w:rsid w:val="00457A42"/>
    <w:rsid w:val="004600B9"/>
    <w:rsid w:val="00460925"/>
    <w:rsid w:val="0046316C"/>
    <w:rsid w:val="00464063"/>
    <w:rsid w:val="004642A7"/>
    <w:rsid w:val="00464A4A"/>
    <w:rsid w:val="004672E5"/>
    <w:rsid w:val="00470EB5"/>
    <w:rsid w:val="0047297D"/>
    <w:rsid w:val="00474143"/>
    <w:rsid w:val="00474925"/>
    <w:rsid w:val="00475B08"/>
    <w:rsid w:val="00475BCE"/>
    <w:rsid w:val="00476CD8"/>
    <w:rsid w:val="00476D56"/>
    <w:rsid w:val="00477C04"/>
    <w:rsid w:val="0048136B"/>
    <w:rsid w:val="004813CF"/>
    <w:rsid w:val="004816B1"/>
    <w:rsid w:val="004819F7"/>
    <w:rsid w:val="00481BAE"/>
    <w:rsid w:val="00481D50"/>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6F8C"/>
    <w:rsid w:val="004A7468"/>
    <w:rsid w:val="004A79DC"/>
    <w:rsid w:val="004B1F7C"/>
    <w:rsid w:val="004B2419"/>
    <w:rsid w:val="004B371C"/>
    <w:rsid w:val="004B46DC"/>
    <w:rsid w:val="004B5D27"/>
    <w:rsid w:val="004B5DD8"/>
    <w:rsid w:val="004B6031"/>
    <w:rsid w:val="004B6F23"/>
    <w:rsid w:val="004B6FB5"/>
    <w:rsid w:val="004B6FEC"/>
    <w:rsid w:val="004B733D"/>
    <w:rsid w:val="004B7456"/>
    <w:rsid w:val="004B76DE"/>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77B"/>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7AF"/>
    <w:rsid w:val="004E7E03"/>
    <w:rsid w:val="004F030B"/>
    <w:rsid w:val="004F04A0"/>
    <w:rsid w:val="004F0EE8"/>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164A"/>
    <w:rsid w:val="00503A30"/>
    <w:rsid w:val="00504689"/>
    <w:rsid w:val="00504ABA"/>
    <w:rsid w:val="00504B0E"/>
    <w:rsid w:val="0050513B"/>
    <w:rsid w:val="00505448"/>
    <w:rsid w:val="005063D2"/>
    <w:rsid w:val="00507D1A"/>
    <w:rsid w:val="00510B17"/>
    <w:rsid w:val="005124BB"/>
    <w:rsid w:val="00512C2D"/>
    <w:rsid w:val="005134E9"/>
    <w:rsid w:val="00513926"/>
    <w:rsid w:val="00514AE3"/>
    <w:rsid w:val="00514EDB"/>
    <w:rsid w:val="00514FE0"/>
    <w:rsid w:val="005154AE"/>
    <w:rsid w:val="00515707"/>
    <w:rsid w:val="0051578D"/>
    <w:rsid w:val="00515B62"/>
    <w:rsid w:val="00516DEF"/>
    <w:rsid w:val="00517413"/>
    <w:rsid w:val="0052223F"/>
    <w:rsid w:val="005224C7"/>
    <w:rsid w:val="00522D6A"/>
    <w:rsid w:val="005248EA"/>
    <w:rsid w:val="00524B76"/>
    <w:rsid w:val="00524C22"/>
    <w:rsid w:val="005251EA"/>
    <w:rsid w:val="005254A1"/>
    <w:rsid w:val="00525A33"/>
    <w:rsid w:val="005261CA"/>
    <w:rsid w:val="00526431"/>
    <w:rsid w:val="00526A8C"/>
    <w:rsid w:val="00527F2D"/>
    <w:rsid w:val="00530280"/>
    <w:rsid w:val="00531A72"/>
    <w:rsid w:val="00533B4D"/>
    <w:rsid w:val="005341FA"/>
    <w:rsid w:val="00534806"/>
    <w:rsid w:val="00534DF6"/>
    <w:rsid w:val="0053584D"/>
    <w:rsid w:val="0053754A"/>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907"/>
    <w:rsid w:val="005513F5"/>
    <w:rsid w:val="005524BE"/>
    <w:rsid w:val="00552509"/>
    <w:rsid w:val="00552FBB"/>
    <w:rsid w:val="00552FC2"/>
    <w:rsid w:val="0055405B"/>
    <w:rsid w:val="00554821"/>
    <w:rsid w:val="00554CFC"/>
    <w:rsid w:val="00555961"/>
    <w:rsid w:val="00556EDF"/>
    <w:rsid w:val="0055703B"/>
    <w:rsid w:val="005574A5"/>
    <w:rsid w:val="0055768C"/>
    <w:rsid w:val="0055797B"/>
    <w:rsid w:val="00557D32"/>
    <w:rsid w:val="0056026D"/>
    <w:rsid w:val="005616F5"/>
    <w:rsid w:val="00561F7F"/>
    <w:rsid w:val="00563D2E"/>
    <w:rsid w:val="005650C8"/>
    <w:rsid w:val="0056541B"/>
    <w:rsid w:val="00566A05"/>
    <w:rsid w:val="00566FF6"/>
    <w:rsid w:val="005678D0"/>
    <w:rsid w:val="005706F1"/>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5373"/>
    <w:rsid w:val="0059604D"/>
    <w:rsid w:val="00597123"/>
    <w:rsid w:val="005978BF"/>
    <w:rsid w:val="005A0143"/>
    <w:rsid w:val="005A04A8"/>
    <w:rsid w:val="005A06B6"/>
    <w:rsid w:val="005A080B"/>
    <w:rsid w:val="005A0DE6"/>
    <w:rsid w:val="005A2FDD"/>
    <w:rsid w:val="005A3224"/>
    <w:rsid w:val="005A34FA"/>
    <w:rsid w:val="005A3829"/>
    <w:rsid w:val="005A52A3"/>
    <w:rsid w:val="005A52CA"/>
    <w:rsid w:val="005A5B31"/>
    <w:rsid w:val="005A7A04"/>
    <w:rsid w:val="005A7E96"/>
    <w:rsid w:val="005B027D"/>
    <w:rsid w:val="005B0756"/>
    <w:rsid w:val="005B0968"/>
    <w:rsid w:val="005B1A8E"/>
    <w:rsid w:val="005B2765"/>
    <w:rsid w:val="005B3EB1"/>
    <w:rsid w:val="005B43F7"/>
    <w:rsid w:val="005B4D47"/>
    <w:rsid w:val="005B5A6E"/>
    <w:rsid w:val="005B7113"/>
    <w:rsid w:val="005B7D79"/>
    <w:rsid w:val="005C14AC"/>
    <w:rsid w:val="005C242A"/>
    <w:rsid w:val="005C3DE7"/>
    <w:rsid w:val="005C3F38"/>
    <w:rsid w:val="005C4534"/>
    <w:rsid w:val="005C4935"/>
    <w:rsid w:val="005C4B4A"/>
    <w:rsid w:val="005C52D2"/>
    <w:rsid w:val="005C5C72"/>
    <w:rsid w:val="005C5D54"/>
    <w:rsid w:val="005C6027"/>
    <w:rsid w:val="005C6C9C"/>
    <w:rsid w:val="005C7BBF"/>
    <w:rsid w:val="005C7D7B"/>
    <w:rsid w:val="005D002B"/>
    <w:rsid w:val="005D04B4"/>
    <w:rsid w:val="005D295E"/>
    <w:rsid w:val="005D54FE"/>
    <w:rsid w:val="005D59BE"/>
    <w:rsid w:val="005D5BB6"/>
    <w:rsid w:val="005D612C"/>
    <w:rsid w:val="005D6AF0"/>
    <w:rsid w:val="005D6D1C"/>
    <w:rsid w:val="005D78FA"/>
    <w:rsid w:val="005E0E3B"/>
    <w:rsid w:val="005E0E8C"/>
    <w:rsid w:val="005E3CF3"/>
    <w:rsid w:val="005E4A4B"/>
    <w:rsid w:val="005E5EFD"/>
    <w:rsid w:val="005F000D"/>
    <w:rsid w:val="005F02BD"/>
    <w:rsid w:val="005F07A7"/>
    <w:rsid w:val="005F21CB"/>
    <w:rsid w:val="005F35B7"/>
    <w:rsid w:val="005F4831"/>
    <w:rsid w:val="005F4A0B"/>
    <w:rsid w:val="005F4B57"/>
    <w:rsid w:val="005F548B"/>
    <w:rsid w:val="005F5E1B"/>
    <w:rsid w:val="005F5FF6"/>
    <w:rsid w:val="005F6816"/>
    <w:rsid w:val="005F6F41"/>
    <w:rsid w:val="005F709F"/>
    <w:rsid w:val="00600900"/>
    <w:rsid w:val="00600F87"/>
    <w:rsid w:val="00601524"/>
    <w:rsid w:val="0060195A"/>
    <w:rsid w:val="00602315"/>
    <w:rsid w:val="006023B2"/>
    <w:rsid w:val="00603451"/>
    <w:rsid w:val="006038D1"/>
    <w:rsid w:val="0060406E"/>
    <w:rsid w:val="006054BC"/>
    <w:rsid w:val="0060550A"/>
    <w:rsid w:val="00605A69"/>
    <w:rsid w:val="00606334"/>
    <w:rsid w:val="00606781"/>
    <w:rsid w:val="0060694A"/>
    <w:rsid w:val="00606BF8"/>
    <w:rsid w:val="00607CCB"/>
    <w:rsid w:val="00611225"/>
    <w:rsid w:val="006118C7"/>
    <w:rsid w:val="00611AF1"/>
    <w:rsid w:val="00611E80"/>
    <w:rsid w:val="00612395"/>
    <w:rsid w:val="00612713"/>
    <w:rsid w:val="00613E8E"/>
    <w:rsid w:val="00613F40"/>
    <w:rsid w:val="0061497A"/>
    <w:rsid w:val="006149D9"/>
    <w:rsid w:val="00616B1E"/>
    <w:rsid w:val="006202FC"/>
    <w:rsid w:val="006205DB"/>
    <w:rsid w:val="00620940"/>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B22"/>
    <w:rsid w:val="00635B90"/>
    <w:rsid w:val="00637B35"/>
    <w:rsid w:val="00637CC9"/>
    <w:rsid w:val="00640179"/>
    <w:rsid w:val="00640574"/>
    <w:rsid w:val="0064107A"/>
    <w:rsid w:val="006410E2"/>
    <w:rsid w:val="00641218"/>
    <w:rsid w:val="006427CC"/>
    <w:rsid w:val="00645732"/>
    <w:rsid w:val="00645B0F"/>
    <w:rsid w:val="00646B68"/>
    <w:rsid w:val="00646D6B"/>
    <w:rsid w:val="00647C04"/>
    <w:rsid w:val="006513E3"/>
    <w:rsid w:val="006516A4"/>
    <w:rsid w:val="00653CF4"/>
    <w:rsid w:val="00654B4D"/>
    <w:rsid w:val="00654B91"/>
    <w:rsid w:val="00654D5D"/>
    <w:rsid w:val="00655E52"/>
    <w:rsid w:val="00656177"/>
    <w:rsid w:val="00656E51"/>
    <w:rsid w:val="006578C1"/>
    <w:rsid w:val="00660187"/>
    <w:rsid w:val="0066045E"/>
    <w:rsid w:val="00660F04"/>
    <w:rsid w:val="006623A6"/>
    <w:rsid w:val="0066383D"/>
    <w:rsid w:val="00663A3B"/>
    <w:rsid w:val="00664F6E"/>
    <w:rsid w:val="00665425"/>
    <w:rsid w:val="006656E5"/>
    <w:rsid w:val="006662FF"/>
    <w:rsid w:val="006667E6"/>
    <w:rsid w:val="00667FF3"/>
    <w:rsid w:val="00670A14"/>
    <w:rsid w:val="00670B79"/>
    <w:rsid w:val="00672C14"/>
    <w:rsid w:val="006764BB"/>
    <w:rsid w:val="00676E61"/>
    <w:rsid w:val="006776E4"/>
    <w:rsid w:val="00680CC2"/>
    <w:rsid w:val="006813AF"/>
    <w:rsid w:val="00682D86"/>
    <w:rsid w:val="0068378B"/>
    <w:rsid w:val="006839EF"/>
    <w:rsid w:val="006845E3"/>
    <w:rsid w:val="006848CB"/>
    <w:rsid w:val="006849C3"/>
    <w:rsid w:val="00685C83"/>
    <w:rsid w:val="00686280"/>
    <w:rsid w:val="0068659F"/>
    <w:rsid w:val="00687936"/>
    <w:rsid w:val="00690F78"/>
    <w:rsid w:val="00691F86"/>
    <w:rsid w:val="0069222E"/>
    <w:rsid w:val="00694A43"/>
    <w:rsid w:val="00694E42"/>
    <w:rsid w:val="006954EF"/>
    <w:rsid w:val="006956E4"/>
    <w:rsid w:val="0069604B"/>
    <w:rsid w:val="00697BD5"/>
    <w:rsid w:val="006A11F7"/>
    <w:rsid w:val="006A1330"/>
    <w:rsid w:val="006A392B"/>
    <w:rsid w:val="006A4A9E"/>
    <w:rsid w:val="006A4E38"/>
    <w:rsid w:val="006A65D5"/>
    <w:rsid w:val="006A7401"/>
    <w:rsid w:val="006A763B"/>
    <w:rsid w:val="006A7A63"/>
    <w:rsid w:val="006B0CAB"/>
    <w:rsid w:val="006B1FBF"/>
    <w:rsid w:val="006B23C3"/>
    <w:rsid w:val="006B2ADA"/>
    <w:rsid w:val="006B3C54"/>
    <w:rsid w:val="006B3CFC"/>
    <w:rsid w:val="006B4F2E"/>
    <w:rsid w:val="006B65B2"/>
    <w:rsid w:val="006B67EA"/>
    <w:rsid w:val="006B713F"/>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D31"/>
    <w:rsid w:val="006D7F31"/>
    <w:rsid w:val="006E0899"/>
    <w:rsid w:val="006E1069"/>
    <w:rsid w:val="006E138B"/>
    <w:rsid w:val="006E1883"/>
    <w:rsid w:val="006E2FA7"/>
    <w:rsid w:val="006E3B74"/>
    <w:rsid w:val="006E4FF1"/>
    <w:rsid w:val="006E5CAB"/>
    <w:rsid w:val="006E691E"/>
    <w:rsid w:val="006E70E0"/>
    <w:rsid w:val="006E7249"/>
    <w:rsid w:val="006F020C"/>
    <w:rsid w:val="006F0954"/>
    <w:rsid w:val="006F17E8"/>
    <w:rsid w:val="006F1B1D"/>
    <w:rsid w:val="006F1C11"/>
    <w:rsid w:val="006F1FD2"/>
    <w:rsid w:val="006F1FEC"/>
    <w:rsid w:val="006F23CF"/>
    <w:rsid w:val="006F27C5"/>
    <w:rsid w:val="006F3357"/>
    <w:rsid w:val="006F3360"/>
    <w:rsid w:val="006F3AC0"/>
    <w:rsid w:val="006F6C4C"/>
    <w:rsid w:val="006F7063"/>
    <w:rsid w:val="006F7C34"/>
    <w:rsid w:val="006F7E77"/>
    <w:rsid w:val="007001C2"/>
    <w:rsid w:val="0070031C"/>
    <w:rsid w:val="00700E7C"/>
    <w:rsid w:val="00701058"/>
    <w:rsid w:val="00701469"/>
    <w:rsid w:val="00702152"/>
    <w:rsid w:val="007027DE"/>
    <w:rsid w:val="00702D14"/>
    <w:rsid w:val="0070365E"/>
    <w:rsid w:val="00703D42"/>
    <w:rsid w:val="007071E2"/>
    <w:rsid w:val="007077A8"/>
    <w:rsid w:val="00710DC4"/>
    <w:rsid w:val="00711339"/>
    <w:rsid w:val="0071272A"/>
    <w:rsid w:val="00713B0B"/>
    <w:rsid w:val="007143DF"/>
    <w:rsid w:val="00715BE0"/>
    <w:rsid w:val="0071644D"/>
    <w:rsid w:val="007169EA"/>
    <w:rsid w:val="00716E33"/>
    <w:rsid w:val="00716EDD"/>
    <w:rsid w:val="00717264"/>
    <w:rsid w:val="00720E68"/>
    <w:rsid w:val="0072131B"/>
    <w:rsid w:val="00721DD2"/>
    <w:rsid w:val="00721ECA"/>
    <w:rsid w:val="00721F29"/>
    <w:rsid w:val="0072214F"/>
    <w:rsid w:val="00722B47"/>
    <w:rsid w:val="00722B8A"/>
    <w:rsid w:val="007246CA"/>
    <w:rsid w:val="00724733"/>
    <w:rsid w:val="007247A2"/>
    <w:rsid w:val="007249BE"/>
    <w:rsid w:val="007257C4"/>
    <w:rsid w:val="00725F60"/>
    <w:rsid w:val="0072638E"/>
    <w:rsid w:val="00726461"/>
    <w:rsid w:val="00726FD3"/>
    <w:rsid w:val="007270D3"/>
    <w:rsid w:val="00727A93"/>
    <w:rsid w:val="00727F61"/>
    <w:rsid w:val="007313A3"/>
    <w:rsid w:val="00731E77"/>
    <w:rsid w:val="00732308"/>
    <w:rsid w:val="00732590"/>
    <w:rsid w:val="007328D6"/>
    <w:rsid w:val="007332AF"/>
    <w:rsid w:val="0073437C"/>
    <w:rsid w:val="0073437D"/>
    <w:rsid w:val="00735943"/>
    <w:rsid w:val="00740BFA"/>
    <w:rsid w:val="0074141E"/>
    <w:rsid w:val="007423C4"/>
    <w:rsid w:val="00742E6A"/>
    <w:rsid w:val="007436C1"/>
    <w:rsid w:val="007449EA"/>
    <w:rsid w:val="00745BE9"/>
    <w:rsid w:val="00746219"/>
    <w:rsid w:val="00746BEB"/>
    <w:rsid w:val="007470CE"/>
    <w:rsid w:val="00750497"/>
    <w:rsid w:val="007509A9"/>
    <w:rsid w:val="00751F71"/>
    <w:rsid w:val="0075235C"/>
    <w:rsid w:val="00752CD9"/>
    <w:rsid w:val="007530C6"/>
    <w:rsid w:val="00753A34"/>
    <w:rsid w:val="00753ED8"/>
    <w:rsid w:val="00754397"/>
    <w:rsid w:val="00754A65"/>
    <w:rsid w:val="00755041"/>
    <w:rsid w:val="007552A7"/>
    <w:rsid w:val="007571F2"/>
    <w:rsid w:val="00757B66"/>
    <w:rsid w:val="00761EC1"/>
    <w:rsid w:val="00762B1E"/>
    <w:rsid w:val="00763640"/>
    <w:rsid w:val="00763988"/>
    <w:rsid w:val="00764399"/>
    <w:rsid w:val="0076559C"/>
    <w:rsid w:val="007658E0"/>
    <w:rsid w:val="00765F23"/>
    <w:rsid w:val="00765FD6"/>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239A"/>
    <w:rsid w:val="0078345C"/>
    <w:rsid w:val="00783A4B"/>
    <w:rsid w:val="0078489B"/>
    <w:rsid w:val="00784902"/>
    <w:rsid w:val="00785282"/>
    <w:rsid w:val="00785333"/>
    <w:rsid w:val="00785766"/>
    <w:rsid w:val="0078629E"/>
    <w:rsid w:val="00786463"/>
    <w:rsid w:val="0079003F"/>
    <w:rsid w:val="00790263"/>
    <w:rsid w:val="00790C1C"/>
    <w:rsid w:val="00791830"/>
    <w:rsid w:val="00792CF9"/>
    <w:rsid w:val="00793DB3"/>
    <w:rsid w:val="00794555"/>
    <w:rsid w:val="00794E71"/>
    <w:rsid w:val="00794E7F"/>
    <w:rsid w:val="007952CC"/>
    <w:rsid w:val="007953ED"/>
    <w:rsid w:val="00795B87"/>
    <w:rsid w:val="00796652"/>
    <w:rsid w:val="00796A6D"/>
    <w:rsid w:val="00797361"/>
    <w:rsid w:val="00797F43"/>
    <w:rsid w:val="007A0041"/>
    <w:rsid w:val="007A06E7"/>
    <w:rsid w:val="007A0A61"/>
    <w:rsid w:val="007A2D32"/>
    <w:rsid w:val="007A33A0"/>
    <w:rsid w:val="007A5184"/>
    <w:rsid w:val="007A5663"/>
    <w:rsid w:val="007A57DF"/>
    <w:rsid w:val="007A67F0"/>
    <w:rsid w:val="007A7527"/>
    <w:rsid w:val="007A7BDA"/>
    <w:rsid w:val="007B09F8"/>
    <w:rsid w:val="007B1E90"/>
    <w:rsid w:val="007B2912"/>
    <w:rsid w:val="007B2A48"/>
    <w:rsid w:val="007B343F"/>
    <w:rsid w:val="007B43EF"/>
    <w:rsid w:val="007B44C6"/>
    <w:rsid w:val="007B4A8C"/>
    <w:rsid w:val="007B4CD8"/>
    <w:rsid w:val="007B5102"/>
    <w:rsid w:val="007B5140"/>
    <w:rsid w:val="007B5E6D"/>
    <w:rsid w:val="007B6993"/>
    <w:rsid w:val="007C09F8"/>
    <w:rsid w:val="007C2040"/>
    <w:rsid w:val="007C20E6"/>
    <w:rsid w:val="007C2B7B"/>
    <w:rsid w:val="007C42F8"/>
    <w:rsid w:val="007C4516"/>
    <w:rsid w:val="007C46D0"/>
    <w:rsid w:val="007C4D7F"/>
    <w:rsid w:val="007C524C"/>
    <w:rsid w:val="007C56C4"/>
    <w:rsid w:val="007C582D"/>
    <w:rsid w:val="007C59EE"/>
    <w:rsid w:val="007C6433"/>
    <w:rsid w:val="007C6A71"/>
    <w:rsid w:val="007C7A48"/>
    <w:rsid w:val="007D0962"/>
    <w:rsid w:val="007D0E34"/>
    <w:rsid w:val="007D12A7"/>
    <w:rsid w:val="007D1554"/>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75DE"/>
    <w:rsid w:val="007F0B8D"/>
    <w:rsid w:val="007F10D5"/>
    <w:rsid w:val="007F3905"/>
    <w:rsid w:val="007F39F3"/>
    <w:rsid w:val="007F48FE"/>
    <w:rsid w:val="007F534E"/>
    <w:rsid w:val="007F57E5"/>
    <w:rsid w:val="007F5F50"/>
    <w:rsid w:val="007F713B"/>
    <w:rsid w:val="0080023E"/>
    <w:rsid w:val="008006B6"/>
    <w:rsid w:val="00800F2F"/>
    <w:rsid w:val="00801B65"/>
    <w:rsid w:val="00801D4E"/>
    <w:rsid w:val="00802071"/>
    <w:rsid w:val="008029B5"/>
    <w:rsid w:val="00803284"/>
    <w:rsid w:val="00803D7A"/>
    <w:rsid w:val="008058B9"/>
    <w:rsid w:val="008065F2"/>
    <w:rsid w:val="00807046"/>
    <w:rsid w:val="0081012F"/>
    <w:rsid w:val="0081070A"/>
    <w:rsid w:val="00811708"/>
    <w:rsid w:val="00811A32"/>
    <w:rsid w:val="00812C24"/>
    <w:rsid w:val="008134B6"/>
    <w:rsid w:val="008137BC"/>
    <w:rsid w:val="00813852"/>
    <w:rsid w:val="00814B89"/>
    <w:rsid w:val="00814D0B"/>
    <w:rsid w:val="00815A37"/>
    <w:rsid w:val="00815F94"/>
    <w:rsid w:val="008165D3"/>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1EB"/>
    <w:rsid w:val="0083123D"/>
    <w:rsid w:val="008323CC"/>
    <w:rsid w:val="008332D1"/>
    <w:rsid w:val="0083520D"/>
    <w:rsid w:val="0083671F"/>
    <w:rsid w:val="00836E48"/>
    <w:rsid w:val="008376BA"/>
    <w:rsid w:val="00840574"/>
    <w:rsid w:val="008414E7"/>
    <w:rsid w:val="008418A0"/>
    <w:rsid w:val="00841BB1"/>
    <w:rsid w:val="00841C02"/>
    <w:rsid w:val="00843CC5"/>
    <w:rsid w:val="00843DAD"/>
    <w:rsid w:val="008442FA"/>
    <w:rsid w:val="00844591"/>
    <w:rsid w:val="0084536A"/>
    <w:rsid w:val="00845896"/>
    <w:rsid w:val="00845D47"/>
    <w:rsid w:val="00846080"/>
    <w:rsid w:val="0084646D"/>
    <w:rsid w:val="00847286"/>
    <w:rsid w:val="00847629"/>
    <w:rsid w:val="00850A0C"/>
    <w:rsid w:val="00850CDD"/>
    <w:rsid w:val="00852CA1"/>
    <w:rsid w:val="008532E5"/>
    <w:rsid w:val="00853730"/>
    <w:rsid w:val="00854E68"/>
    <w:rsid w:val="00855595"/>
    <w:rsid w:val="00855FDC"/>
    <w:rsid w:val="008568D9"/>
    <w:rsid w:val="00856C2D"/>
    <w:rsid w:val="008571AA"/>
    <w:rsid w:val="00857668"/>
    <w:rsid w:val="0086096E"/>
    <w:rsid w:val="00862A19"/>
    <w:rsid w:val="0086356A"/>
    <w:rsid w:val="0086366E"/>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DFA"/>
    <w:rsid w:val="00883118"/>
    <w:rsid w:val="008831BD"/>
    <w:rsid w:val="0088322C"/>
    <w:rsid w:val="00883510"/>
    <w:rsid w:val="0088363B"/>
    <w:rsid w:val="00884579"/>
    <w:rsid w:val="00884771"/>
    <w:rsid w:val="008849E0"/>
    <w:rsid w:val="00884F73"/>
    <w:rsid w:val="0088502E"/>
    <w:rsid w:val="00885215"/>
    <w:rsid w:val="00885E06"/>
    <w:rsid w:val="00887131"/>
    <w:rsid w:val="00890103"/>
    <w:rsid w:val="00890A6D"/>
    <w:rsid w:val="008913A4"/>
    <w:rsid w:val="00891A32"/>
    <w:rsid w:val="0089271A"/>
    <w:rsid w:val="00892778"/>
    <w:rsid w:val="00892CC6"/>
    <w:rsid w:val="00894B15"/>
    <w:rsid w:val="008950AE"/>
    <w:rsid w:val="0089607F"/>
    <w:rsid w:val="008974E7"/>
    <w:rsid w:val="00897EC7"/>
    <w:rsid w:val="008A0021"/>
    <w:rsid w:val="008A05BE"/>
    <w:rsid w:val="008A1442"/>
    <w:rsid w:val="008A167E"/>
    <w:rsid w:val="008A1BF1"/>
    <w:rsid w:val="008A1C0A"/>
    <w:rsid w:val="008A2657"/>
    <w:rsid w:val="008A2A42"/>
    <w:rsid w:val="008A2D8C"/>
    <w:rsid w:val="008A340C"/>
    <w:rsid w:val="008A45E4"/>
    <w:rsid w:val="008A6833"/>
    <w:rsid w:val="008A728B"/>
    <w:rsid w:val="008A747E"/>
    <w:rsid w:val="008B0B45"/>
    <w:rsid w:val="008B0D7C"/>
    <w:rsid w:val="008B127A"/>
    <w:rsid w:val="008B4372"/>
    <w:rsid w:val="008B4606"/>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D04A7"/>
    <w:rsid w:val="008D0B1E"/>
    <w:rsid w:val="008D0EAE"/>
    <w:rsid w:val="008D1CB7"/>
    <w:rsid w:val="008D23EA"/>
    <w:rsid w:val="008D2AB0"/>
    <w:rsid w:val="008D2F8B"/>
    <w:rsid w:val="008D325D"/>
    <w:rsid w:val="008D372C"/>
    <w:rsid w:val="008D4070"/>
    <w:rsid w:val="008D466B"/>
    <w:rsid w:val="008D467B"/>
    <w:rsid w:val="008D4976"/>
    <w:rsid w:val="008D4CA6"/>
    <w:rsid w:val="008D542E"/>
    <w:rsid w:val="008D5DCF"/>
    <w:rsid w:val="008D6AF4"/>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3200"/>
    <w:rsid w:val="008F5453"/>
    <w:rsid w:val="008F5F91"/>
    <w:rsid w:val="008F6481"/>
    <w:rsid w:val="00900F35"/>
    <w:rsid w:val="00901730"/>
    <w:rsid w:val="00901B2F"/>
    <w:rsid w:val="00901D9A"/>
    <w:rsid w:val="00901DBE"/>
    <w:rsid w:val="009026CE"/>
    <w:rsid w:val="009029E3"/>
    <w:rsid w:val="00903016"/>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1971"/>
    <w:rsid w:val="00931BC9"/>
    <w:rsid w:val="009324D0"/>
    <w:rsid w:val="0093262F"/>
    <w:rsid w:val="00932880"/>
    <w:rsid w:val="00933A25"/>
    <w:rsid w:val="00933DD7"/>
    <w:rsid w:val="00934647"/>
    <w:rsid w:val="00935C90"/>
    <w:rsid w:val="00936535"/>
    <w:rsid w:val="00937075"/>
    <w:rsid w:val="009419BD"/>
    <w:rsid w:val="00941EAC"/>
    <w:rsid w:val="0094209B"/>
    <w:rsid w:val="009427D4"/>
    <w:rsid w:val="00942B97"/>
    <w:rsid w:val="00944AF0"/>
    <w:rsid w:val="009508D0"/>
    <w:rsid w:val="00951004"/>
    <w:rsid w:val="0095112D"/>
    <w:rsid w:val="00952165"/>
    <w:rsid w:val="00952781"/>
    <w:rsid w:val="00952CC5"/>
    <w:rsid w:val="0095341F"/>
    <w:rsid w:val="009545A8"/>
    <w:rsid w:val="00954E9E"/>
    <w:rsid w:val="00955D82"/>
    <w:rsid w:val="00956D55"/>
    <w:rsid w:val="00957B70"/>
    <w:rsid w:val="009606D9"/>
    <w:rsid w:val="009610C1"/>
    <w:rsid w:val="00961F66"/>
    <w:rsid w:val="00961F9E"/>
    <w:rsid w:val="00962252"/>
    <w:rsid w:val="009622A5"/>
    <w:rsid w:val="00962994"/>
    <w:rsid w:val="009636CC"/>
    <w:rsid w:val="00963F9E"/>
    <w:rsid w:val="00964793"/>
    <w:rsid w:val="00964AB8"/>
    <w:rsid w:val="00964DC8"/>
    <w:rsid w:val="00965279"/>
    <w:rsid w:val="00966949"/>
    <w:rsid w:val="00966977"/>
    <w:rsid w:val="009670DA"/>
    <w:rsid w:val="00967773"/>
    <w:rsid w:val="00967E38"/>
    <w:rsid w:val="00967E9D"/>
    <w:rsid w:val="009704CF"/>
    <w:rsid w:val="00971F08"/>
    <w:rsid w:val="009725D2"/>
    <w:rsid w:val="00972F78"/>
    <w:rsid w:val="0097435B"/>
    <w:rsid w:val="00975379"/>
    <w:rsid w:val="00975EDF"/>
    <w:rsid w:val="009765E9"/>
    <w:rsid w:val="0097685A"/>
    <w:rsid w:val="0097728A"/>
    <w:rsid w:val="00980353"/>
    <w:rsid w:val="00980914"/>
    <w:rsid w:val="00983409"/>
    <w:rsid w:val="00983C94"/>
    <w:rsid w:val="00984FC2"/>
    <w:rsid w:val="00986B26"/>
    <w:rsid w:val="00987558"/>
    <w:rsid w:val="00987A45"/>
    <w:rsid w:val="00987A93"/>
    <w:rsid w:val="009901EA"/>
    <w:rsid w:val="00990F47"/>
    <w:rsid w:val="00991A57"/>
    <w:rsid w:val="0099280A"/>
    <w:rsid w:val="0099292D"/>
    <w:rsid w:val="00992FFC"/>
    <w:rsid w:val="00994054"/>
    <w:rsid w:val="009943F1"/>
    <w:rsid w:val="00994D07"/>
    <w:rsid w:val="00995454"/>
    <w:rsid w:val="00995F76"/>
    <w:rsid w:val="009A1784"/>
    <w:rsid w:val="009A1F11"/>
    <w:rsid w:val="009A2853"/>
    <w:rsid w:val="009A2C5A"/>
    <w:rsid w:val="009A3266"/>
    <w:rsid w:val="009A397F"/>
    <w:rsid w:val="009A45B8"/>
    <w:rsid w:val="009A4EFE"/>
    <w:rsid w:val="009A5150"/>
    <w:rsid w:val="009A552F"/>
    <w:rsid w:val="009A5A85"/>
    <w:rsid w:val="009A5AB6"/>
    <w:rsid w:val="009A74C1"/>
    <w:rsid w:val="009B0427"/>
    <w:rsid w:val="009B0F28"/>
    <w:rsid w:val="009B1A49"/>
    <w:rsid w:val="009B2A0A"/>
    <w:rsid w:val="009B3589"/>
    <w:rsid w:val="009B3874"/>
    <w:rsid w:val="009B5483"/>
    <w:rsid w:val="009B5685"/>
    <w:rsid w:val="009B64EA"/>
    <w:rsid w:val="009B6626"/>
    <w:rsid w:val="009B7147"/>
    <w:rsid w:val="009C0593"/>
    <w:rsid w:val="009C13A0"/>
    <w:rsid w:val="009C1AE5"/>
    <w:rsid w:val="009C26A1"/>
    <w:rsid w:val="009C2D06"/>
    <w:rsid w:val="009C3256"/>
    <w:rsid w:val="009C3354"/>
    <w:rsid w:val="009C36A9"/>
    <w:rsid w:val="009C4132"/>
    <w:rsid w:val="009C4DF6"/>
    <w:rsid w:val="009C58E1"/>
    <w:rsid w:val="009C5997"/>
    <w:rsid w:val="009C5BDA"/>
    <w:rsid w:val="009C66C3"/>
    <w:rsid w:val="009D0726"/>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A38"/>
    <w:rsid w:val="009F252F"/>
    <w:rsid w:val="009F2950"/>
    <w:rsid w:val="009F404C"/>
    <w:rsid w:val="009F4294"/>
    <w:rsid w:val="009F430A"/>
    <w:rsid w:val="009F4623"/>
    <w:rsid w:val="009F5758"/>
    <w:rsid w:val="009F64AA"/>
    <w:rsid w:val="009F778F"/>
    <w:rsid w:val="00A00A64"/>
    <w:rsid w:val="00A0202B"/>
    <w:rsid w:val="00A02B06"/>
    <w:rsid w:val="00A03102"/>
    <w:rsid w:val="00A033B8"/>
    <w:rsid w:val="00A03A23"/>
    <w:rsid w:val="00A03F46"/>
    <w:rsid w:val="00A05153"/>
    <w:rsid w:val="00A051A9"/>
    <w:rsid w:val="00A05ACB"/>
    <w:rsid w:val="00A109F5"/>
    <w:rsid w:val="00A118EE"/>
    <w:rsid w:val="00A11A85"/>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2F85"/>
    <w:rsid w:val="00A23615"/>
    <w:rsid w:val="00A23BF6"/>
    <w:rsid w:val="00A24810"/>
    <w:rsid w:val="00A258DD"/>
    <w:rsid w:val="00A2661C"/>
    <w:rsid w:val="00A26DFE"/>
    <w:rsid w:val="00A27045"/>
    <w:rsid w:val="00A30E20"/>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08B3"/>
    <w:rsid w:val="00A41459"/>
    <w:rsid w:val="00A42469"/>
    <w:rsid w:val="00A43454"/>
    <w:rsid w:val="00A44565"/>
    <w:rsid w:val="00A464B5"/>
    <w:rsid w:val="00A46C7C"/>
    <w:rsid w:val="00A4797E"/>
    <w:rsid w:val="00A47CF5"/>
    <w:rsid w:val="00A508A0"/>
    <w:rsid w:val="00A50AAB"/>
    <w:rsid w:val="00A50DB9"/>
    <w:rsid w:val="00A51031"/>
    <w:rsid w:val="00A51D68"/>
    <w:rsid w:val="00A53A6B"/>
    <w:rsid w:val="00A5404C"/>
    <w:rsid w:val="00A5426F"/>
    <w:rsid w:val="00A54781"/>
    <w:rsid w:val="00A54DA6"/>
    <w:rsid w:val="00A55F28"/>
    <w:rsid w:val="00A56941"/>
    <w:rsid w:val="00A577F1"/>
    <w:rsid w:val="00A6216A"/>
    <w:rsid w:val="00A631ED"/>
    <w:rsid w:val="00A6328A"/>
    <w:rsid w:val="00A638EF"/>
    <w:rsid w:val="00A64740"/>
    <w:rsid w:val="00A655D4"/>
    <w:rsid w:val="00A66934"/>
    <w:rsid w:val="00A700AC"/>
    <w:rsid w:val="00A70868"/>
    <w:rsid w:val="00A70BC0"/>
    <w:rsid w:val="00A712EA"/>
    <w:rsid w:val="00A74381"/>
    <w:rsid w:val="00A750C6"/>
    <w:rsid w:val="00A7572B"/>
    <w:rsid w:val="00A75B6C"/>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62F6"/>
    <w:rsid w:val="00A864DB"/>
    <w:rsid w:val="00A86BA3"/>
    <w:rsid w:val="00A87EEB"/>
    <w:rsid w:val="00A90B9A"/>
    <w:rsid w:val="00A90EF7"/>
    <w:rsid w:val="00A91023"/>
    <w:rsid w:val="00A917C9"/>
    <w:rsid w:val="00A9187B"/>
    <w:rsid w:val="00A918E6"/>
    <w:rsid w:val="00A9244D"/>
    <w:rsid w:val="00A9275E"/>
    <w:rsid w:val="00A93922"/>
    <w:rsid w:val="00A93C91"/>
    <w:rsid w:val="00A94E95"/>
    <w:rsid w:val="00A95801"/>
    <w:rsid w:val="00A9598B"/>
    <w:rsid w:val="00A9619C"/>
    <w:rsid w:val="00AA0059"/>
    <w:rsid w:val="00AA08AD"/>
    <w:rsid w:val="00AA1917"/>
    <w:rsid w:val="00AA2A0D"/>
    <w:rsid w:val="00AA2CC4"/>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22B"/>
    <w:rsid w:val="00AB53DC"/>
    <w:rsid w:val="00AB692E"/>
    <w:rsid w:val="00AB796C"/>
    <w:rsid w:val="00AB7FD3"/>
    <w:rsid w:val="00AC051C"/>
    <w:rsid w:val="00AC0D60"/>
    <w:rsid w:val="00AC1B0C"/>
    <w:rsid w:val="00AC2AA1"/>
    <w:rsid w:val="00AC2B52"/>
    <w:rsid w:val="00AC2DB7"/>
    <w:rsid w:val="00AC3298"/>
    <w:rsid w:val="00AC3500"/>
    <w:rsid w:val="00AC3DD2"/>
    <w:rsid w:val="00AC404D"/>
    <w:rsid w:val="00AC4DBE"/>
    <w:rsid w:val="00AC5088"/>
    <w:rsid w:val="00AC6E4A"/>
    <w:rsid w:val="00AC7130"/>
    <w:rsid w:val="00AC7829"/>
    <w:rsid w:val="00AC7C19"/>
    <w:rsid w:val="00AD0666"/>
    <w:rsid w:val="00AD0BF6"/>
    <w:rsid w:val="00AD17F7"/>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811"/>
    <w:rsid w:val="00AE1F1C"/>
    <w:rsid w:val="00AE346E"/>
    <w:rsid w:val="00AE48CB"/>
    <w:rsid w:val="00AE52A2"/>
    <w:rsid w:val="00AE67C8"/>
    <w:rsid w:val="00AE6887"/>
    <w:rsid w:val="00AE6E1E"/>
    <w:rsid w:val="00AE7BD8"/>
    <w:rsid w:val="00AE7DFD"/>
    <w:rsid w:val="00AE7EC7"/>
    <w:rsid w:val="00AF0B12"/>
    <w:rsid w:val="00AF1FFD"/>
    <w:rsid w:val="00AF2219"/>
    <w:rsid w:val="00AF3F64"/>
    <w:rsid w:val="00AF4C91"/>
    <w:rsid w:val="00AF4CBF"/>
    <w:rsid w:val="00AF6FA6"/>
    <w:rsid w:val="00B00137"/>
    <w:rsid w:val="00B0099F"/>
    <w:rsid w:val="00B009B4"/>
    <w:rsid w:val="00B01A48"/>
    <w:rsid w:val="00B01D07"/>
    <w:rsid w:val="00B01EDF"/>
    <w:rsid w:val="00B0313F"/>
    <w:rsid w:val="00B03D3B"/>
    <w:rsid w:val="00B040CA"/>
    <w:rsid w:val="00B06348"/>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3884"/>
    <w:rsid w:val="00B15A25"/>
    <w:rsid w:val="00B16D96"/>
    <w:rsid w:val="00B17B32"/>
    <w:rsid w:val="00B17CB6"/>
    <w:rsid w:val="00B200A4"/>
    <w:rsid w:val="00B20A5B"/>
    <w:rsid w:val="00B21306"/>
    <w:rsid w:val="00B21AE3"/>
    <w:rsid w:val="00B21C96"/>
    <w:rsid w:val="00B21E07"/>
    <w:rsid w:val="00B2334F"/>
    <w:rsid w:val="00B23A7D"/>
    <w:rsid w:val="00B24DB9"/>
    <w:rsid w:val="00B252C1"/>
    <w:rsid w:val="00B2608A"/>
    <w:rsid w:val="00B26403"/>
    <w:rsid w:val="00B26775"/>
    <w:rsid w:val="00B274E5"/>
    <w:rsid w:val="00B27EB0"/>
    <w:rsid w:val="00B30B66"/>
    <w:rsid w:val="00B32458"/>
    <w:rsid w:val="00B333CE"/>
    <w:rsid w:val="00B335C1"/>
    <w:rsid w:val="00B33901"/>
    <w:rsid w:val="00B33B62"/>
    <w:rsid w:val="00B33FB9"/>
    <w:rsid w:val="00B34E24"/>
    <w:rsid w:val="00B35A3A"/>
    <w:rsid w:val="00B35B26"/>
    <w:rsid w:val="00B35BCA"/>
    <w:rsid w:val="00B367A9"/>
    <w:rsid w:val="00B367D6"/>
    <w:rsid w:val="00B36F72"/>
    <w:rsid w:val="00B4056A"/>
    <w:rsid w:val="00B40C6A"/>
    <w:rsid w:val="00B41AE8"/>
    <w:rsid w:val="00B43DB1"/>
    <w:rsid w:val="00B453DC"/>
    <w:rsid w:val="00B47CD5"/>
    <w:rsid w:val="00B51945"/>
    <w:rsid w:val="00B535C1"/>
    <w:rsid w:val="00B53C85"/>
    <w:rsid w:val="00B56037"/>
    <w:rsid w:val="00B56134"/>
    <w:rsid w:val="00B56412"/>
    <w:rsid w:val="00B566EF"/>
    <w:rsid w:val="00B56FF9"/>
    <w:rsid w:val="00B60A21"/>
    <w:rsid w:val="00B63066"/>
    <w:rsid w:val="00B638CF"/>
    <w:rsid w:val="00B64B15"/>
    <w:rsid w:val="00B672C9"/>
    <w:rsid w:val="00B675C5"/>
    <w:rsid w:val="00B70630"/>
    <w:rsid w:val="00B70C23"/>
    <w:rsid w:val="00B7178D"/>
    <w:rsid w:val="00B717DC"/>
    <w:rsid w:val="00B719BF"/>
    <w:rsid w:val="00B72B29"/>
    <w:rsid w:val="00B748AC"/>
    <w:rsid w:val="00B74951"/>
    <w:rsid w:val="00B75165"/>
    <w:rsid w:val="00B75EE3"/>
    <w:rsid w:val="00B7624B"/>
    <w:rsid w:val="00B76B87"/>
    <w:rsid w:val="00B77F88"/>
    <w:rsid w:val="00B800A1"/>
    <w:rsid w:val="00B8137E"/>
    <w:rsid w:val="00B81571"/>
    <w:rsid w:val="00B822FC"/>
    <w:rsid w:val="00B82638"/>
    <w:rsid w:val="00B826C5"/>
    <w:rsid w:val="00B845D3"/>
    <w:rsid w:val="00B8473A"/>
    <w:rsid w:val="00B84AE3"/>
    <w:rsid w:val="00B84DB1"/>
    <w:rsid w:val="00B86EC2"/>
    <w:rsid w:val="00B87572"/>
    <w:rsid w:val="00B87591"/>
    <w:rsid w:val="00B87E38"/>
    <w:rsid w:val="00B90776"/>
    <w:rsid w:val="00B914F9"/>
    <w:rsid w:val="00B92283"/>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1746"/>
    <w:rsid w:val="00BD35DF"/>
    <w:rsid w:val="00BD3EC2"/>
    <w:rsid w:val="00BD41A5"/>
    <w:rsid w:val="00BD43C0"/>
    <w:rsid w:val="00BD4D29"/>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2B4"/>
    <w:rsid w:val="00BE5658"/>
    <w:rsid w:val="00BE636A"/>
    <w:rsid w:val="00BE6747"/>
    <w:rsid w:val="00BF008E"/>
    <w:rsid w:val="00BF0963"/>
    <w:rsid w:val="00BF0998"/>
    <w:rsid w:val="00BF152D"/>
    <w:rsid w:val="00BF18A0"/>
    <w:rsid w:val="00BF1BF0"/>
    <w:rsid w:val="00BF248F"/>
    <w:rsid w:val="00BF29D4"/>
    <w:rsid w:val="00BF2F90"/>
    <w:rsid w:val="00BF3EB7"/>
    <w:rsid w:val="00BF3FD4"/>
    <w:rsid w:val="00BF4F73"/>
    <w:rsid w:val="00BF61E4"/>
    <w:rsid w:val="00BF6FC7"/>
    <w:rsid w:val="00BF7C27"/>
    <w:rsid w:val="00C00D3C"/>
    <w:rsid w:val="00C01622"/>
    <w:rsid w:val="00C026B5"/>
    <w:rsid w:val="00C0315D"/>
    <w:rsid w:val="00C040BF"/>
    <w:rsid w:val="00C054AF"/>
    <w:rsid w:val="00C056D1"/>
    <w:rsid w:val="00C05729"/>
    <w:rsid w:val="00C0738E"/>
    <w:rsid w:val="00C07393"/>
    <w:rsid w:val="00C07458"/>
    <w:rsid w:val="00C07DEC"/>
    <w:rsid w:val="00C112EB"/>
    <w:rsid w:val="00C11983"/>
    <w:rsid w:val="00C11A43"/>
    <w:rsid w:val="00C1322A"/>
    <w:rsid w:val="00C1402F"/>
    <w:rsid w:val="00C14D16"/>
    <w:rsid w:val="00C16CF3"/>
    <w:rsid w:val="00C176DD"/>
    <w:rsid w:val="00C17ECC"/>
    <w:rsid w:val="00C17F6D"/>
    <w:rsid w:val="00C20775"/>
    <w:rsid w:val="00C20E76"/>
    <w:rsid w:val="00C210F3"/>
    <w:rsid w:val="00C2140A"/>
    <w:rsid w:val="00C218BE"/>
    <w:rsid w:val="00C220B8"/>
    <w:rsid w:val="00C22683"/>
    <w:rsid w:val="00C22832"/>
    <w:rsid w:val="00C22CF7"/>
    <w:rsid w:val="00C23E15"/>
    <w:rsid w:val="00C23FA2"/>
    <w:rsid w:val="00C23FD9"/>
    <w:rsid w:val="00C253E5"/>
    <w:rsid w:val="00C2654E"/>
    <w:rsid w:val="00C26CCF"/>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197"/>
    <w:rsid w:val="00C37554"/>
    <w:rsid w:val="00C4054F"/>
    <w:rsid w:val="00C40F96"/>
    <w:rsid w:val="00C4132C"/>
    <w:rsid w:val="00C415E1"/>
    <w:rsid w:val="00C424B3"/>
    <w:rsid w:val="00C42C56"/>
    <w:rsid w:val="00C42C7D"/>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178"/>
    <w:rsid w:val="00C9525D"/>
    <w:rsid w:val="00C95A04"/>
    <w:rsid w:val="00C97123"/>
    <w:rsid w:val="00C97AA2"/>
    <w:rsid w:val="00C97EB0"/>
    <w:rsid w:val="00CA03CE"/>
    <w:rsid w:val="00CA043B"/>
    <w:rsid w:val="00CA0951"/>
    <w:rsid w:val="00CA0A28"/>
    <w:rsid w:val="00CA13F0"/>
    <w:rsid w:val="00CA181F"/>
    <w:rsid w:val="00CA2BB5"/>
    <w:rsid w:val="00CA3911"/>
    <w:rsid w:val="00CA54AC"/>
    <w:rsid w:val="00CA611C"/>
    <w:rsid w:val="00CA63FF"/>
    <w:rsid w:val="00CA7686"/>
    <w:rsid w:val="00CB0203"/>
    <w:rsid w:val="00CB088C"/>
    <w:rsid w:val="00CB3640"/>
    <w:rsid w:val="00CB5650"/>
    <w:rsid w:val="00CB573E"/>
    <w:rsid w:val="00CB585C"/>
    <w:rsid w:val="00CB6090"/>
    <w:rsid w:val="00CC002E"/>
    <w:rsid w:val="00CC10DE"/>
    <w:rsid w:val="00CC1441"/>
    <w:rsid w:val="00CC1892"/>
    <w:rsid w:val="00CC245E"/>
    <w:rsid w:val="00CC38E3"/>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2D6"/>
    <w:rsid w:val="00CE2B59"/>
    <w:rsid w:val="00CE2C8D"/>
    <w:rsid w:val="00CE3955"/>
    <w:rsid w:val="00CE3DFA"/>
    <w:rsid w:val="00CE4363"/>
    <w:rsid w:val="00CE5F46"/>
    <w:rsid w:val="00CE61DD"/>
    <w:rsid w:val="00CE6BAC"/>
    <w:rsid w:val="00CE737F"/>
    <w:rsid w:val="00CE74C1"/>
    <w:rsid w:val="00CE79AD"/>
    <w:rsid w:val="00CE7B97"/>
    <w:rsid w:val="00CF16EE"/>
    <w:rsid w:val="00CF189F"/>
    <w:rsid w:val="00CF2B11"/>
    <w:rsid w:val="00CF32D3"/>
    <w:rsid w:val="00CF344B"/>
    <w:rsid w:val="00CF3540"/>
    <w:rsid w:val="00CF3DAD"/>
    <w:rsid w:val="00CF40EE"/>
    <w:rsid w:val="00CF4B58"/>
    <w:rsid w:val="00CF6068"/>
    <w:rsid w:val="00CF753C"/>
    <w:rsid w:val="00CF7D88"/>
    <w:rsid w:val="00D011BA"/>
    <w:rsid w:val="00D0278B"/>
    <w:rsid w:val="00D0361C"/>
    <w:rsid w:val="00D0657F"/>
    <w:rsid w:val="00D06CD5"/>
    <w:rsid w:val="00D138AE"/>
    <w:rsid w:val="00D1450B"/>
    <w:rsid w:val="00D14628"/>
    <w:rsid w:val="00D148FF"/>
    <w:rsid w:val="00D14F94"/>
    <w:rsid w:val="00D162A4"/>
    <w:rsid w:val="00D174C5"/>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E1E"/>
    <w:rsid w:val="00D33F02"/>
    <w:rsid w:val="00D34536"/>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47755"/>
    <w:rsid w:val="00D50F72"/>
    <w:rsid w:val="00D513DB"/>
    <w:rsid w:val="00D51640"/>
    <w:rsid w:val="00D51C45"/>
    <w:rsid w:val="00D52698"/>
    <w:rsid w:val="00D53762"/>
    <w:rsid w:val="00D53B09"/>
    <w:rsid w:val="00D5535F"/>
    <w:rsid w:val="00D55E2F"/>
    <w:rsid w:val="00D55FB2"/>
    <w:rsid w:val="00D57617"/>
    <w:rsid w:val="00D60525"/>
    <w:rsid w:val="00D61451"/>
    <w:rsid w:val="00D616B6"/>
    <w:rsid w:val="00D61995"/>
    <w:rsid w:val="00D61A4F"/>
    <w:rsid w:val="00D61F33"/>
    <w:rsid w:val="00D62075"/>
    <w:rsid w:val="00D62595"/>
    <w:rsid w:val="00D62835"/>
    <w:rsid w:val="00D645FC"/>
    <w:rsid w:val="00D66171"/>
    <w:rsid w:val="00D6674F"/>
    <w:rsid w:val="00D7009C"/>
    <w:rsid w:val="00D70F0D"/>
    <w:rsid w:val="00D71CD3"/>
    <w:rsid w:val="00D72F8D"/>
    <w:rsid w:val="00D72FE2"/>
    <w:rsid w:val="00D73628"/>
    <w:rsid w:val="00D73B0C"/>
    <w:rsid w:val="00D75BA4"/>
    <w:rsid w:val="00D75EEF"/>
    <w:rsid w:val="00D760A2"/>
    <w:rsid w:val="00D76304"/>
    <w:rsid w:val="00D76604"/>
    <w:rsid w:val="00D76948"/>
    <w:rsid w:val="00D76A1F"/>
    <w:rsid w:val="00D8082E"/>
    <w:rsid w:val="00D80B68"/>
    <w:rsid w:val="00D81B3F"/>
    <w:rsid w:val="00D81C12"/>
    <w:rsid w:val="00D83333"/>
    <w:rsid w:val="00D8449B"/>
    <w:rsid w:val="00D848F8"/>
    <w:rsid w:val="00D850CF"/>
    <w:rsid w:val="00D870FC"/>
    <w:rsid w:val="00D87553"/>
    <w:rsid w:val="00D900F7"/>
    <w:rsid w:val="00D90409"/>
    <w:rsid w:val="00D90660"/>
    <w:rsid w:val="00D909CF"/>
    <w:rsid w:val="00D91077"/>
    <w:rsid w:val="00D923CD"/>
    <w:rsid w:val="00D926E3"/>
    <w:rsid w:val="00D92740"/>
    <w:rsid w:val="00D931F8"/>
    <w:rsid w:val="00D9346D"/>
    <w:rsid w:val="00D94199"/>
    <w:rsid w:val="00D962E9"/>
    <w:rsid w:val="00D97469"/>
    <w:rsid w:val="00DA0BF1"/>
    <w:rsid w:val="00DA11AA"/>
    <w:rsid w:val="00DA254C"/>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356"/>
    <w:rsid w:val="00DC65CD"/>
    <w:rsid w:val="00DC74E5"/>
    <w:rsid w:val="00DD0390"/>
    <w:rsid w:val="00DD0837"/>
    <w:rsid w:val="00DD0C47"/>
    <w:rsid w:val="00DD0E55"/>
    <w:rsid w:val="00DD1D04"/>
    <w:rsid w:val="00DD36C2"/>
    <w:rsid w:val="00DD4C61"/>
    <w:rsid w:val="00DD4CA1"/>
    <w:rsid w:val="00DD56E9"/>
    <w:rsid w:val="00DD5CF5"/>
    <w:rsid w:val="00DD6329"/>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4EAB"/>
    <w:rsid w:val="00E054F1"/>
    <w:rsid w:val="00E06B57"/>
    <w:rsid w:val="00E10FA5"/>
    <w:rsid w:val="00E117F8"/>
    <w:rsid w:val="00E11C4F"/>
    <w:rsid w:val="00E12029"/>
    <w:rsid w:val="00E123CF"/>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998"/>
    <w:rsid w:val="00E27B91"/>
    <w:rsid w:val="00E31086"/>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7"/>
    <w:rsid w:val="00E4366A"/>
    <w:rsid w:val="00E43B80"/>
    <w:rsid w:val="00E443FF"/>
    <w:rsid w:val="00E44457"/>
    <w:rsid w:val="00E45685"/>
    <w:rsid w:val="00E45A51"/>
    <w:rsid w:val="00E45C8A"/>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4C14"/>
    <w:rsid w:val="00E756C2"/>
    <w:rsid w:val="00E77453"/>
    <w:rsid w:val="00E77AFD"/>
    <w:rsid w:val="00E80260"/>
    <w:rsid w:val="00E80338"/>
    <w:rsid w:val="00E80460"/>
    <w:rsid w:val="00E80F75"/>
    <w:rsid w:val="00E82240"/>
    <w:rsid w:val="00E822ED"/>
    <w:rsid w:val="00E831DD"/>
    <w:rsid w:val="00E83D4C"/>
    <w:rsid w:val="00E83E01"/>
    <w:rsid w:val="00E84D48"/>
    <w:rsid w:val="00E85272"/>
    <w:rsid w:val="00E859EB"/>
    <w:rsid w:val="00E85FBA"/>
    <w:rsid w:val="00E861AD"/>
    <w:rsid w:val="00E86F46"/>
    <w:rsid w:val="00E870B5"/>
    <w:rsid w:val="00E87391"/>
    <w:rsid w:val="00E87A9D"/>
    <w:rsid w:val="00E9175F"/>
    <w:rsid w:val="00E91B93"/>
    <w:rsid w:val="00E92165"/>
    <w:rsid w:val="00E927B7"/>
    <w:rsid w:val="00E9315D"/>
    <w:rsid w:val="00E9334D"/>
    <w:rsid w:val="00E95353"/>
    <w:rsid w:val="00E9660F"/>
    <w:rsid w:val="00E96874"/>
    <w:rsid w:val="00E9693D"/>
    <w:rsid w:val="00E9775C"/>
    <w:rsid w:val="00E97CE4"/>
    <w:rsid w:val="00EA03C0"/>
    <w:rsid w:val="00EA1A0B"/>
    <w:rsid w:val="00EA3020"/>
    <w:rsid w:val="00EA34A1"/>
    <w:rsid w:val="00EA3DE8"/>
    <w:rsid w:val="00EA4DF0"/>
    <w:rsid w:val="00EA4F10"/>
    <w:rsid w:val="00EA55FD"/>
    <w:rsid w:val="00EA643C"/>
    <w:rsid w:val="00EA6827"/>
    <w:rsid w:val="00EA6F74"/>
    <w:rsid w:val="00EA7DD8"/>
    <w:rsid w:val="00EB0987"/>
    <w:rsid w:val="00EB09BB"/>
    <w:rsid w:val="00EB0FE4"/>
    <w:rsid w:val="00EB334C"/>
    <w:rsid w:val="00EB445F"/>
    <w:rsid w:val="00EB5168"/>
    <w:rsid w:val="00EB5A39"/>
    <w:rsid w:val="00EB5DEB"/>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6585"/>
    <w:rsid w:val="00ED7D02"/>
    <w:rsid w:val="00EE05C5"/>
    <w:rsid w:val="00EE171B"/>
    <w:rsid w:val="00EE1B61"/>
    <w:rsid w:val="00EE29F0"/>
    <w:rsid w:val="00EE418A"/>
    <w:rsid w:val="00EE454D"/>
    <w:rsid w:val="00EE55B0"/>
    <w:rsid w:val="00EE6B6F"/>
    <w:rsid w:val="00EE71BA"/>
    <w:rsid w:val="00EE741E"/>
    <w:rsid w:val="00EF2A31"/>
    <w:rsid w:val="00EF2A91"/>
    <w:rsid w:val="00EF4277"/>
    <w:rsid w:val="00EF4FEA"/>
    <w:rsid w:val="00EF5489"/>
    <w:rsid w:val="00EF5779"/>
    <w:rsid w:val="00EF5B9A"/>
    <w:rsid w:val="00EF656F"/>
    <w:rsid w:val="00EF6758"/>
    <w:rsid w:val="00EF6E6C"/>
    <w:rsid w:val="00F006C5"/>
    <w:rsid w:val="00F021CE"/>
    <w:rsid w:val="00F025ED"/>
    <w:rsid w:val="00F0294B"/>
    <w:rsid w:val="00F02A35"/>
    <w:rsid w:val="00F037C1"/>
    <w:rsid w:val="00F04969"/>
    <w:rsid w:val="00F05EA1"/>
    <w:rsid w:val="00F05F71"/>
    <w:rsid w:val="00F06A5B"/>
    <w:rsid w:val="00F075E6"/>
    <w:rsid w:val="00F07A35"/>
    <w:rsid w:val="00F07A41"/>
    <w:rsid w:val="00F07D54"/>
    <w:rsid w:val="00F10B24"/>
    <w:rsid w:val="00F11404"/>
    <w:rsid w:val="00F1142C"/>
    <w:rsid w:val="00F121EF"/>
    <w:rsid w:val="00F126A2"/>
    <w:rsid w:val="00F12E00"/>
    <w:rsid w:val="00F13610"/>
    <w:rsid w:val="00F13F84"/>
    <w:rsid w:val="00F1501A"/>
    <w:rsid w:val="00F154AD"/>
    <w:rsid w:val="00F15CEE"/>
    <w:rsid w:val="00F16447"/>
    <w:rsid w:val="00F16C38"/>
    <w:rsid w:val="00F21076"/>
    <w:rsid w:val="00F22728"/>
    <w:rsid w:val="00F228C8"/>
    <w:rsid w:val="00F22B28"/>
    <w:rsid w:val="00F23145"/>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95F"/>
    <w:rsid w:val="00F37CBB"/>
    <w:rsid w:val="00F37E78"/>
    <w:rsid w:val="00F4066A"/>
    <w:rsid w:val="00F4092E"/>
    <w:rsid w:val="00F40F63"/>
    <w:rsid w:val="00F4153B"/>
    <w:rsid w:val="00F425C6"/>
    <w:rsid w:val="00F434FC"/>
    <w:rsid w:val="00F45D88"/>
    <w:rsid w:val="00F46619"/>
    <w:rsid w:val="00F47246"/>
    <w:rsid w:val="00F500BC"/>
    <w:rsid w:val="00F50BC9"/>
    <w:rsid w:val="00F50D60"/>
    <w:rsid w:val="00F51B5A"/>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827"/>
    <w:rsid w:val="00F6416A"/>
    <w:rsid w:val="00F641D6"/>
    <w:rsid w:val="00F65161"/>
    <w:rsid w:val="00F65449"/>
    <w:rsid w:val="00F65FF1"/>
    <w:rsid w:val="00F6624A"/>
    <w:rsid w:val="00F67499"/>
    <w:rsid w:val="00F67935"/>
    <w:rsid w:val="00F71701"/>
    <w:rsid w:val="00F717CE"/>
    <w:rsid w:val="00F719AA"/>
    <w:rsid w:val="00F72089"/>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D81"/>
    <w:rsid w:val="00F8547C"/>
    <w:rsid w:val="00F85707"/>
    <w:rsid w:val="00F85D5E"/>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21F8"/>
    <w:rsid w:val="00FA230D"/>
    <w:rsid w:val="00FA2730"/>
    <w:rsid w:val="00FA3501"/>
    <w:rsid w:val="00FA3EC7"/>
    <w:rsid w:val="00FA4E44"/>
    <w:rsid w:val="00FA7D18"/>
    <w:rsid w:val="00FA7FB8"/>
    <w:rsid w:val="00FB05D0"/>
    <w:rsid w:val="00FB0E89"/>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352F"/>
    <w:rsid w:val="00FC6127"/>
    <w:rsid w:val="00FC6206"/>
    <w:rsid w:val="00FC7407"/>
    <w:rsid w:val="00FD01D6"/>
    <w:rsid w:val="00FD09FA"/>
    <w:rsid w:val="00FD0E5C"/>
    <w:rsid w:val="00FD125E"/>
    <w:rsid w:val="00FD1BDD"/>
    <w:rsid w:val="00FD1DC9"/>
    <w:rsid w:val="00FD203F"/>
    <w:rsid w:val="00FD3DBD"/>
    <w:rsid w:val="00FD4F49"/>
    <w:rsid w:val="00FD53BD"/>
    <w:rsid w:val="00FD7025"/>
    <w:rsid w:val="00FD7E8E"/>
    <w:rsid w:val="00FE0669"/>
    <w:rsid w:val="00FE2383"/>
    <w:rsid w:val="00FE23F4"/>
    <w:rsid w:val="00FE3017"/>
    <w:rsid w:val="00FE3336"/>
    <w:rsid w:val="00FE3D63"/>
    <w:rsid w:val="00FE61E5"/>
    <w:rsid w:val="00FE68A9"/>
    <w:rsid w:val="00FE6DFC"/>
    <w:rsid w:val="00FF3423"/>
    <w:rsid w:val="00FF34DB"/>
    <w:rsid w:val="00FF3E4B"/>
    <w:rsid w:val="00FF4A78"/>
    <w:rsid w:val="00FF4AA1"/>
    <w:rsid w:val="00FF58F3"/>
    <w:rsid w:val="00FF6CB1"/>
    <w:rsid w:val="2F3162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semiHidden/>
    <w:qFormat/>
    <w:uiPriority w:val="0"/>
    <w:rPr>
      <w:rFonts w:ascii="Tahoma" w:hAnsi="Tahoma" w:cs="Tahoma"/>
      <w:sz w:val="16"/>
      <w:szCs w:val="16"/>
    </w:rPr>
  </w:style>
  <w:style w:type="paragraph" w:styleId="5">
    <w:name w:val="Body Text"/>
    <w:basedOn w:val="1"/>
    <w:qFormat/>
    <w:uiPriority w:val="0"/>
    <w:pPr>
      <w:spacing w:after="120"/>
    </w:pPr>
  </w:style>
  <w:style w:type="paragraph" w:styleId="6">
    <w:name w:val="footer"/>
    <w:basedOn w:val="1"/>
    <w:link w:val="12"/>
    <w:qFormat/>
    <w:uiPriority w:val="0"/>
    <w:pPr>
      <w:tabs>
        <w:tab w:val="center" w:pos="4320"/>
        <w:tab w:val="right" w:pos="8640"/>
      </w:tabs>
    </w:pPr>
  </w:style>
  <w:style w:type="paragraph" w:styleId="7">
    <w:name w:val="header"/>
    <w:basedOn w:val="1"/>
    <w:link w:val="10"/>
    <w:qFormat/>
    <w:uiPriority w:val="0"/>
    <w:pPr>
      <w:tabs>
        <w:tab w:val="center" w:pos="4320"/>
        <w:tab w:val="right" w:pos="8640"/>
      </w:tabs>
    </w:pPr>
  </w:style>
  <w:style w:type="character" w:styleId="8">
    <w:name w:val="page number"/>
    <w:basedOn w:val="2"/>
    <w:qFormat/>
    <w:uiPriority w:val="0"/>
  </w:style>
  <w:style w:type="table" w:styleId="9">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Header Char"/>
    <w:basedOn w:val="2"/>
    <w:link w:val="7"/>
    <w:qFormat/>
    <w:uiPriority w:val="0"/>
    <w:rPr>
      <w:sz w:val="24"/>
      <w:szCs w:val="24"/>
    </w:rPr>
  </w:style>
  <w:style w:type="paragraph" w:styleId="11">
    <w:name w:val="List Paragraph"/>
    <w:basedOn w:val="1"/>
    <w:qFormat/>
    <w:uiPriority w:val="34"/>
    <w:pPr>
      <w:ind w:left="720"/>
      <w:contextualSpacing/>
    </w:pPr>
  </w:style>
  <w:style w:type="character" w:customStyle="1" w:styleId="12">
    <w:name w:val="Footer Char"/>
    <w:basedOn w:val="2"/>
    <w:link w:val="6"/>
    <w:qFormat/>
    <w:uiPriority w:val="0"/>
    <w:rPr>
      <w:sz w:val="24"/>
      <w:szCs w:val="24"/>
    </w:rPr>
  </w:style>
  <w:style w:type="table" w:customStyle="1" w:styleId="13">
    <w:name w:val="Table Grid1"/>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4">
    <w:name w:val="Default Text"/>
    <w:basedOn w:val="1"/>
    <w:qFormat/>
    <w:uiPriority w:val="0"/>
    <w:rPr>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D329A-7899-45E9-BD34-DAA16D19A7E5}">
  <ds:schemaRefs/>
</ds:datastoreItem>
</file>

<file path=docProps/app.xml><?xml version="1.0" encoding="utf-8"?>
<Properties xmlns="http://schemas.openxmlformats.org/officeDocument/2006/extended-properties" xmlns:vt="http://schemas.openxmlformats.org/officeDocument/2006/docPropsVTypes">
  <Template>Normal</Template>
  <Company>Shankar</Company>
  <Pages>2</Pages>
  <Words>205</Words>
  <Characters>1174</Characters>
  <Lines>9</Lines>
  <Paragraphs>2</Paragraphs>
  <TotalTime>2882</TotalTime>
  <ScaleCrop>false</ScaleCrop>
  <LinksUpToDate>false</LinksUpToDate>
  <CharactersWithSpaces>1377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2012-09-11T07:20:00Z</dcterms:created>
  <dc:creator>Shankar</dc:creator>
  <cp:lastModifiedBy>QA- Discovery</cp:lastModifiedBy>
  <cp:lastPrinted>2018-04-18T04:36:00Z</cp:lastPrinted>
  <dcterms:modified xsi:type="dcterms:W3CDTF">2022-05-21T04:51:31Z</dcterms:modified>
  <dc:title>Production SOP's</dc:title>
  <cp:revision>1949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F4010E635BBF4AAE955F415322FD254B</vt:lpwstr>
  </property>
</Properties>
</file>