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BC61F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7E658F" w:rsidRPr="007E658F" w:rsidRDefault="007E658F" w:rsidP="00BC61F4">
      <w:pPr>
        <w:spacing w:line="360" w:lineRule="auto"/>
        <w:ind w:left="720"/>
        <w:jc w:val="both"/>
        <w:rPr>
          <w:color w:val="000000" w:themeColor="text1"/>
        </w:rPr>
      </w:pPr>
      <w:r w:rsidRPr="007E658F">
        <w:rPr>
          <w:color w:val="000000" w:themeColor="text1"/>
        </w:rPr>
        <w:t xml:space="preserve">To lay down the Procedure for </w:t>
      </w:r>
      <w:r w:rsidR="0015640E">
        <w:t>monitoring</w:t>
      </w:r>
      <w:r>
        <w:t xml:space="preserve"> employee movement</w:t>
      </w:r>
      <w:r w:rsidRPr="007E658F">
        <w:rPr>
          <w:color w:val="000000" w:themeColor="text1"/>
        </w:rPr>
        <w:t>.</w:t>
      </w:r>
    </w:p>
    <w:p w:rsidR="00530280" w:rsidRPr="00B00137" w:rsidRDefault="00530280" w:rsidP="00BC61F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7E658F" w:rsidRDefault="007E658F" w:rsidP="00BC61F4">
      <w:pPr>
        <w:spacing w:line="360" w:lineRule="auto"/>
        <w:ind w:left="720"/>
        <w:jc w:val="both"/>
        <w:rPr>
          <w:b/>
          <w:color w:val="000000" w:themeColor="text1"/>
        </w:rPr>
      </w:pPr>
      <w:r>
        <w:t xml:space="preserve">This procedure is applicable </w:t>
      </w:r>
      <w:r w:rsidRPr="007E658F">
        <w:rPr>
          <w:rFonts w:cs="Arial"/>
        </w:rPr>
        <w:t xml:space="preserve">for all employees working at </w:t>
      </w:r>
      <w:r w:rsidR="00447898">
        <w:t>Discovery Laboratories Pvt. Ltd</w:t>
      </w:r>
      <w:r w:rsidR="00D20CD8" w:rsidRPr="007E658F">
        <w:rPr>
          <w:color w:val="000000" w:themeColor="text1"/>
        </w:rPr>
        <w:t>.</w:t>
      </w:r>
    </w:p>
    <w:p w:rsidR="00530280" w:rsidRPr="00B00137" w:rsidRDefault="00530280" w:rsidP="00BC61F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7E658F" w:rsidRPr="007E658F" w:rsidRDefault="007E658F" w:rsidP="00BC61F4">
      <w:pPr>
        <w:spacing w:line="360" w:lineRule="auto"/>
        <w:ind w:left="720"/>
        <w:jc w:val="both"/>
        <w:rPr>
          <w:b/>
          <w:caps/>
          <w:color w:val="000000" w:themeColor="text1"/>
        </w:rPr>
      </w:pPr>
      <w:r>
        <w:t>It is the responsibility of HR department to monitor the employee movement and Shift exchanges.</w:t>
      </w:r>
    </w:p>
    <w:p w:rsidR="004F6097" w:rsidRPr="00B00137" w:rsidRDefault="004F6097" w:rsidP="00BC61F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CB0203" w:rsidRPr="00447898" w:rsidRDefault="00447898" w:rsidP="00BC61F4"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 w:rsidR="004F6097" w:rsidRPr="00B00137" w:rsidRDefault="004F6097" w:rsidP="00BC61F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7E658F" w:rsidRPr="00092D75" w:rsidRDefault="007E658F" w:rsidP="00BC61F4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092D75">
        <w:rPr>
          <w:b/>
          <w:u w:val="single"/>
        </w:rPr>
        <w:t>Out Pass:</w:t>
      </w:r>
    </w:p>
    <w:p w:rsidR="007E658F" w:rsidRDefault="007E658F" w:rsidP="00BC61F4">
      <w:pPr>
        <w:numPr>
          <w:ilvl w:val="2"/>
          <w:numId w:val="2"/>
        </w:numPr>
        <w:tabs>
          <w:tab w:val="clear" w:pos="2160"/>
        </w:tabs>
        <w:spacing w:line="360" w:lineRule="auto"/>
        <w:ind w:hanging="864"/>
        <w:jc w:val="both"/>
      </w:pPr>
      <w:r w:rsidRPr="00724056">
        <w:t>The main objective</w:t>
      </w:r>
      <w:r w:rsidR="0088675B">
        <w:t xml:space="preserve"> is</w:t>
      </w:r>
      <w:r w:rsidRPr="00724056">
        <w:t xml:space="preserve"> to monitor the </w:t>
      </w:r>
      <w:r w:rsidR="0088675B">
        <w:t>employee movement</w:t>
      </w:r>
      <w:r w:rsidRPr="00724056">
        <w:t>.</w:t>
      </w:r>
    </w:p>
    <w:p w:rsidR="0088675B" w:rsidRDefault="0088675B" w:rsidP="00BC61F4">
      <w:pPr>
        <w:numPr>
          <w:ilvl w:val="2"/>
          <w:numId w:val="2"/>
        </w:numPr>
        <w:tabs>
          <w:tab w:val="clear" w:pos="2160"/>
        </w:tabs>
        <w:spacing w:line="360" w:lineRule="auto"/>
        <w:ind w:hanging="864"/>
        <w:jc w:val="both"/>
      </w:pPr>
      <w:r>
        <w:t>Employee entering into factory premises shall sign in the muster roll.</w:t>
      </w:r>
    </w:p>
    <w:p w:rsidR="007E658F" w:rsidRPr="00092D75" w:rsidRDefault="007E658F" w:rsidP="00151B18">
      <w:pPr>
        <w:numPr>
          <w:ilvl w:val="2"/>
          <w:numId w:val="2"/>
        </w:numPr>
        <w:tabs>
          <w:tab w:val="clear" w:pos="2160"/>
        </w:tabs>
        <w:spacing w:line="360" w:lineRule="auto"/>
        <w:ind w:hanging="864"/>
        <w:jc w:val="both"/>
      </w:pPr>
      <w:r w:rsidRPr="00092D75">
        <w:t>Any employee need to go outside the factor</w:t>
      </w:r>
      <w:r w:rsidR="008169F9">
        <w:t>y on Official or Unofficial purp</w:t>
      </w:r>
      <w:r w:rsidR="000E5307">
        <w:t xml:space="preserve">ose, by getting the authorized form and </w:t>
      </w:r>
      <w:r w:rsidRPr="00092D75">
        <w:t xml:space="preserve">shall fill the </w:t>
      </w:r>
      <w:r w:rsidR="0015640E" w:rsidRPr="00092D75">
        <w:t>in</w:t>
      </w:r>
      <w:r w:rsidRPr="00092D75">
        <w:t xml:space="preserve"> time and out </w:t>
      </w:r>
      <w:r w:rsidR="000E5307" w:rsidRPr="00092D75">
        <w:t>time</w:t>
      </w:r>
      <w:r w:rsidR="000E5307">
        <w:t xml:space="preserve"> </w:t>
      </w:r>
      <w:r w:rsidR="000E5307" w:rsidRPr="00092D75">
        <w:t>in</w:t>
      </w:r>
      <w:r w:rsidRPr="00092D75">
        <w:t xml:space="preserve"> </w:t>
      </w:r>
      <w:r w:rsidR="00151B18">
        <w:t>Employee Movement Register</w:t>
      </w:r>
      <w:r w:rsidRPr="00092D75">
        <w:t>.</w:t>
      </w:r>
    </w:p>
    <w:p w:rsidR="007E658F" w:rsidRPr="00092D75" w:rsidRDefault="007E658F" w:rsidP="00BC61F4">
      <w:pPr>
        <w:numPr>
          <w:ilvl w:val="2"/>
          <w:numId w:val="2"/>
        </w:numPr>
        <w:tabs>
          <w:tab w:val="clear" w:pos="2160"/>
        </w:tabs>
        <w:spacing w:line="360" w:lineRule="auto"/>
        <w:ind w:hanging="864"/>
        <w:jc w:val="both"/>
      </w:pPr>
      <w:r w:rsidRPr="00092D75">
        <w:t>If employee returns after completion of the outside work, security shall enter the return time in the ‘</w:t>
      </w:r>
      <w:r w:rsidR="00151B18">
        <w:t>Employee Movement Register’</w:t>
      </w:r>
      <w:r w:rsidRPr="00092D75">
        <w:t xml:space="preserve"> and allow him to premises.</w:t>
      </w:r>
    </w:p>
    <w:p w:rsidR="004F6097" w:rsidRPr="00B00137" w:rsidRDefault="004F6097" w:rsidP="00C2095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7E658F" w:rsidRDefault="007E658F" w:rsidP="00C20957">
      <w:pPr>
        <w:numPr>
          <w:ilvl w:val="1"/>
          <w:numId w:val="2"/>
        </w:numPr>
        <w:spacing w:line="360" w:lineRule="auto"/>
        <w:ind w:left="1296" w:hanging="576"/>
        <w:jc w:val="both"/>
        <w:rPr>
          <w:color w:val="000000" w:themeColor="text1"/>
        </w:rPr>
      </w:pPr>
      <w:r>
        <w:t>Employee movement register</w:t>
      </w:r>
      <w:bookmarkStart w:id="0" w:name="_GoBack"/>
      <w:bookmarkEnd w:id="0"/>
      <w:r w:rsidR="00151B18">
        <w:rPr>
          <w:color w:val="000000" w:themeColor="text1"/>
        </w:rPr>
        <w:t xml:space="preserve">           : ANNEXURE</w:t>
      </w:r>
    </w:p>
    <w:p w:rsidR="0088675B" w:rsidRDefault="0088675B" w:rsidP="0088675B">
      <w:pPr>
        <w:spacing w:line="360" w:lineRule="auto"/>
        <w:jc w:val="both"/>
        <w:rPr>
          <w:color w:val="000000" w:themeColor="text1"/>
        </w:rPr>
      </w:pPr>
    </w:p>
    <w:p w:rsidR="0088675B" w:rsidRDefault="0088675B" w:rsidP="0088675B">
      <w:pPr>
        <w:spacing w:line="360" w:lineRule="auto"/>
        <w:jc w:val="both"/>
        <w:rPr>
          <w:color w:val="000000" w:themeColor="text1"/>
        </w:rPr>
      </w:pPr>
    </w:p>
    <w:p w:rsidR="0088675B" w:rsidRDefault="0088675B" w:rsidP="0088675B">
      <w:pPr>
        <w:spacing w:line="360" w:lineRule="auto"/>
        <w:jc w:val="both"/>
        <w:rPr>
          <w:color w:val="000000" w:themeColor="text1"/>
        </w:rPr>
      </w:pPr>
    </w:p>
    <w:p w:rsidR="00AE14EB" w:rsidRDefault="004F6097" w:rsidP="00C2095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68" w:type="dxa"/>
        <w:tblInd w:w="-432" w:type="dxa"/>
        <w:tblLayout w:type="fixed"/>
        <w:tblLook w:val="04A0"/>
      </w:tblPr>
      <w:tblGrid>
        <w:gridCol w:w="1249"/>
        <w:gridCol w:w="1450"/>
        <w:gridCol w:w="5921"/>
        <w:gridCol w:w="1548"/>
      </w:tblGrid>
      <w:tr w:rsidR="0088675B" w:rsidRPr="00B00137" w:rsidTr="00D747C1">
        <w:trPr>
          <w:trHeight w:val="374"/>
          <w:tblHeader/>
        </w:trPr>
        <w:tc>
          <w:tcPr>
            <w:tcW w:w="1249" w:type="dxa"/>
            <w:vAlign w:val="center"/>
          </w:tcPr>
          <w:p w:rsidR="0088675B" w:rsidRPr="00B00137" w:rsidRDefault="0088675B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88675B" w:rsidRPr="00B00137" w:rsidRDefault="0088675B" w:rsidP="00B138B3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921" w:type="dxa"/>
            <w:vAlign w:val="center"/>
          </w:tcPr>
          <w:p w:rsidR="0088675B" w:rsidRPr="00B00137" w:rsidRDefault="0088675B" w:rsidP="00B138B3">
            <w:pPr>
              <w:ind w:right="119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 w:rsidR="0088675B" w:rsidRPr="007D3F91" w:rsidRDefault="0088675B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88675B" w:rsidRPr="00B00137" w:rsidTr="00D747C1">
        <w:trPr>
          <w:trHeight w:val="683"/>
        </w:trPr>
        <w:tc>
          <w:tcPr>
            <w:tcW w:w="1249" w:type="dxa"/>
            <w:vAlign w:val="center"/>
          </w:tcPr>
          <w:p w:rsidR="0088675B" w:rsidRPr="00B00137" w:rsidRDefault="0088675B" w:rsidP="00883FD5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 w:rsidR="0088675B" w:rsidRPr="00B00137" w:rsidRDefault="00D747C1" w:rsidP="00883FD5">
            <w:pPr>
              <w:ind w:right="1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27.03.2013</w:t>
            </w:r>
          </w:p>
        </w:tc>
        <w:tc>
          <w:tcPr>
            <w:tcW w:w="5921" w:type="dxa"/>
            <w:vAlign w:val="center"/>
          </w:tcPr>
          <w:p w:rsidR="0088675B" w:rsidRPr="00B00137" w:rsidRDefault="0088675B" w:rsidP="00883FD5">
            <w:pPr>
              <w:ind w:right="119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548" w:type="dxa"/>
          </w:tcPr>
          <w:p w:rsidR="0088675B" w:rsidRPr="00B00137" w:rsidRDefault="0088675B" w:rsidP="00883FD5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88675B" w:rsidRPr="00B00137" w:rsidTr="00D747C1">
        <w:trPr>
          <w:trHeight w:val="374"/>
        </w:trPr>
        <w:tc>
          <w:tcPr>
            <w:tcW w:w="1249" w:type="dxa"/>
            <w:vAlign w:val="center"/>
          </w:tcPr>
          <w:p w:rsidR="0088675B" w:rsidRDefault="0088675B" w:rsidP="007E658F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D747C1">
              <w:rPr>
                <w:color w:val="000000" w:themeColor="text1"/>
              </w:rPr>
              <w:t>1</w:t>
            </w:r>
          </w:p>
        </w:tc>
        <w:tc>
          <w:tcPr>
            <w:tcW w:w="1450" w:type="dxa"/>
            <w:vAlign w:val="center"/>
          </w:tcPr>
          <w:p w:rsidR="0088675B" w:rsidRDefault="0088675B" w:rsidP="0088675B"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5921" w:type="dxa"/>
            <w:vAlign w:val="center"/>
          </w:tcPr>
          <w:p w:rsidR="0088675B" w:rsidRDefault="0088675B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 w:rsidR="0088675B" w:rsidRPr="00B82E3A" w:rsidRDefault="0088675B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 w:rsidR="0088675B" w:rsidRDefault="0088675B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88675B" w:rsidRDefault="00D747C1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 w:rsidR="00447898" w:rsidRDefault="00447898" w:rsidP="00447898">
      <w:pPr>
        <w:spacing w:line="360" w:lineRule="auto"/>
        <w:ind w:left="-225" w:right="-315"/>
        <w:jc w:val="both"/>
        <w:rPr>
          <w:b/>
          <w:caps/>
          <w:color w:val="000000" w:themeColor="text1"/>
        </w:rPr>
      </w:pPr>
    </w:p>
    <w:p w:rsidR="00030C6E" w:rsidRDefault="00030C6E"/>
    <w:p w:rsidR="00030C6E" w:rsidRDefault="00030C6E"/>
    <w:p w:rsidR="009D6DB8" w:rsidRPr="00B00137" w:rsidRDefault="009D6DB8" w:rsidP="00A0202B">
      <w:pPr>
        <w:rPr>
          <w:color w:val="000000" w:themeColor="text1"/>
        </w:rPr>
      </w:pPr>
    </w:p>
    <w:sectPr w:rsidR="009D6DB8" w:rsidRPr="00B00137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750" w:rsidRDefault="00B12750">
      <w:r>
        <w:separator/>
      </w:r>
    </w:p>
  </w:endnote>
  <w:endnote w:type="continuationSeparator" w:id="1">
    <w:p w:rsidR="00B12750" w:rsidRDefault="00B12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3C64FA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3C64FA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5348D4" w:rsidP="006530DC">
          <w:pPr>
            <w:tabs>
              <w:tab w:val="center" w:pos="4320"/>
              <w:tab w:val="right" w:pos="8640"/>
            </w:tabs>
            <w:jc w:val="center"/>
          </w:pPr>
          <w:r>
            <w:t>I.</w:t>
          </w:r>
          <w:r w:rsidR="00C20957">
            <w:t xml:space="preserve"> </w:t>
          </w:r>
          <w:r>
            <w:t>Naresh</w:t>
          </w:r>
        </w:p>
      </w:tc>
      <w:tc>
        <w:tcPr>
          <w:tcW w:w="2753" w:type="dxa"/>
          <w:vAlign w:val="center"/>
        </w:tcPr>
        <w:p w:rsidR="005251EA" w:rsidRPr="0029058A" w:rsidRDefault="006530DC" w:rsidP="00C20957"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 w:rsidR="005251EA" w:rsidRPr="0029058A" w:rsidRDefault="00727E22" w:rsidP="00C20957">
          <w:pPr>
            <w:jc w:val="center"/>
          </w:pPr>
          <w:r>
            <w:t>N.Sreedhar</w:t>
          </w: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6530DC" w:rsidP="006E21D7"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 w:rsidR="005251EA" w:rsidRPr="0029058A" w:rsidRDefault="006530DC" w:rsidP="006E21D7"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 w:rsidR="005251EA" w:rsidRPr="0029058A" w:rsidRDefault="005348D4" w:rsidP="006E21D7">
          <w:pPr>
            <w:jc w:val="center"/>
          </w:pPr>
          <w:r>
            <w:t>Quality Assurance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8D04A7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750" w:rsidRDefault="00B12750">
      <w:r>
        <w:separator/>
      </w:r>
    </w:p>
  </w:footnote>
  <w:footnote w:type="continuationSeparator" w:id="1">
    <w:p w:rsidR="00B12750" w:rsidRDefault="00B12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94"/>
      <w:gridCol w:w="1712"/>
      <w:gridCol w:w="2471"/>
      <w:gridCol w:w="2175"/>
      <w:gridCol w:w="1888"/>
    </w:tblGrid>
    <w:tr w:rsidR="0004260C" w:rsidRPr="007D7C90" w:rsidTr="003C64FA">
      <w:trPr>
        <w:cantSplit/>
        <w:trHeight w:val="490"/>
      </w:trPr>
      <w:tc>
        <w:tcPr>
          <w:tcW w:w="2133" w:type="dxa"/>
          <w:vMerge w:val="restart"/>
          <w:vAlign w:val="center"/>
        </w:tcPr>
        <w:p w:rsidR="0004260C" w:rsidRPr="007D7C90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-135255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D7D31">
            <w:rPr>
              <w:b/>
              <w:noProof/>
              <w:sz w:val="28"/>
              <w:szCs w:val="28"/>
            </w:rPr>
            <w:t xml:space="preserve"> </w:t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6A7401" w:rsidP="00BC61F4">
          <w:r w:rsidRPr="007D7C90">
            <w:t>SOP-</w:t>
          </w:r>
          <w:r>
            <w:t>HR</w:t>
          </w:r>
          <w:r w:rsidRPr="007D7C90">
            <w:t>-00</w:t>
          </w:r>
          <w:r w:rsidR="003D17B1">
            <w:t>6</w:t>
          </w:r>
          <w:r w:rsidRPr="007D7C90">
            <w:t>-0</w:t>
          </w:r>
          <w:r w:rsidR="00BC61F4">
            <w:t>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3D17B1" w:rsidP="00151B18">
          <w:pPr>
            <w:jc w:val="center"/>
          </w:pPr>
          <w:r>
            <w:t>01</w:t>
          </w:r>
          <w:r w:rsidR="00447898">
            <w:t>.0</w:t>
          </w:r>
          <w:r w:rsidR="00151B18">
            <w:t>4</w:t>
          </w:r>
          <w:r w:rsidR="00447898">
            <w:t>.201</w:t>
          </w:r>
          <w:r w:rsidR="00151B18">
            <w:t>8</w:t>
          </w:r>
        </w:p>
      </w:tc>
    </w:tr>
    <w:tr w:rsidR="00AC7C19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AC7C19" w:rsidRPr="007D7C90" w:rsidRDefault="00AC7C19" w:rsidP="00066343"/>
      </w:tc>
      <w:tc>
        <w:tcPr>
          <w:tcW w:w="1665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C7C19" w:rsidRPr="007D7C90" w:rsidRDefault="006A7401" w:rsidP="00BC61F4">
          <w:r>
            <w:t>HR</w:t>
          </w:r>
          <w:r w:rsidRPr="007D7C90">
            <w:t>-00</w:t>
          </w:r>
          <w:r w:rsidR="003D17B1">
            <w:t>6</w:t>
          </w:r>
          <w:r w:rsidRPr="007D7C90">
            <w:t>-0</w:t>
          </w:r>
          <w:r w:rsidR="00BC61F4">
            <w:t>0</w:t>
          </w:r>
        </w:p>
      </w:tc>
      <w:tc>
        <w:tcPr>
          <w:tcW w:w="211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C7C19" w:rsidRPr="007D7C90" w:rsidRDefault="003E2396" w:rsidP="00151B18">
          <w:pPr>
            <w:jc w:val="center"/>
          </w:pPr>
          <w:r>
            <w:t>March-</w:t>
          </w:r>
          <w:r w:rsidR="00447898">
            <w:t>202</w:t>
          </w:r>
          <w:r w:rsidR="00151B18">
            <w:t>1</w:t>
          </w:r>
        </w:p>
      </w:tc>
    </w:tr>
    <w:tr w:rsidR="0004260C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447898" w:rsidP="00066343">
          <w:r>
            <w:t>Human Resources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691809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3E2396">
            <w:rPr>
              <w:noProof/>
            </w:rPr>
            <w:t>1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3E2396">
            <w:rPr>
              <w:noProof/>
            </w:rPr>
            <w:t>2</w:t>
          </w:r>
          <w:r w:rsidRPr="007D7C90">
            <w:fldChar w:fldCharType="end"/>
          </w:r>
        </w:p>
      </w:tc>
    </w:tr>
    <w:tr w:rsidR="0004260C" w:rsidRPr="007D7C90" w:rsidTr="003C64FA">
      <w:trPr>
        <w:cantSplit/>
        <w:trHeight w:val="490"/>
      </w:trPr>
      <w:tc>
        <w:tcPr>
          <w:tcW w:w="10152" w:type="dxa"/>
          <w:gridSpan w:val="5"/>
          <w:vAlign w:val="center"/>
        </w:tcPr>
        <w:p w:rsidR="0004260C" w:rsidRPr="007D7C90" w:rsidRDefault="0004260C" w:rsidP="0006634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7E658F">
            <w:rPr>
              <w:b/>
            </w:rPr>
            <w:t>M</w:t>
          </w:r>
          <w:r w:rsidR="007E658F" w:rsidRPr="001A3F6D">
            <w:rPr>
              <w:b/>
              <w:bCs/>
            </w:rPr>
            <w:t>ONITOR</w:t>
          </w:r>
          <w:r w:rsidR="007E658F">
            <w:rPr>
              <w:b/>
              <w:bCs/>
            </w:rPr>
            <w:t>ING</w:t>
          </w:r>
          <w:r w:rsidR="007E658F" w:rsidRPr="001A3F6D">
            <w:rPr>
              <w:b/>
              <w:bCs/>
            </w:rPr>
            <w:t xml:space="preserve"> EMPLOYEE </w:t>
          </w:r>
          <w:r w:rsidR="00151B18">
            <w:rPr>
              <w:b/>
              <w:bCs/>
            </w:rPr>
            <w:t>MOVEMENT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691809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3E2396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1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8092"/>
        </w:tabs>
        <w:ind w:left="8092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33"/>
  </w:num>
  <w:num w:numId="4">
    <w:abstractNumId w:val="31"/>
  </w:num>
  <w:num w:numId="5">
    <w:abstractNumId w:val="22"/>
  </w:num>
  <w:num w:numId="6">
    <w:abstractNumId w:val="9"/>
  </w:num>
  <w:num w:numId="7">
    <w:abstractNumId w:val="15"/>
  </w:num>
  <w:num w:numId="8">
    <w:abstractNumId w:val="28"/>
  </w:num>
  <w:num w:numId="9">
    <w:abstractNumId w:val="30"/>
  </w:num>
  <w:num w:numId="10">
    <w:abstractNumId w:val="25"/>
  </w:num>
  <w:num w:numId="11">
    <w:abstractNumId w:val="20"/>
  </w:num>
  <w:num w:numId="12">
    <w:abstractNumId w:val="13"/>
  </w:num>
  <w:num w:numId="13">
    <w:abstractNumId w:val="8"/>
  </w:num>
  <w:num w:numId="14">
    <w:abstractNumId w:val="19"/>
  </w:num>
  <w:num w:numId="15">
    <w:abstractNumId w:val="4"/>
  </w:num>
  <w:num w:numId="16">
    <w:abstractNumId w:val="34"/>
  </w:num>
  <w:num w:numId="17">
    <w:abstractNumId w:val="23"/>
  </w:num>
  <w:num w:numId="18">
    <w:abstractNumId w:val="5"/>
  </w:num>
  <w:num w:numId="19">
    <w:abstractNumId w:val="10"/>
  </w:num>
  <w:num w:numId="20">
    <w:abstractNumId w:val="7"/>
  </w:num>
  <w:num w:numId="21">
    <w:abstractNumId w:val="2"/>
  </w:num>
  <w:num w:numId="22">
    <w:abstractNumId w:val="6"/>
  </w:num>
  <w:num w:numId="23">
    <w:abstractNumId w:val="16"/>
  </w:num>
  <w:num w:numId="24">
    <w:abstractNumId w:val="11"/>
  </w:num>
  <w:num w:numId="25">
    <w:abstractNumId w:val="3"/>
  </w:num>
  <w:num w:numId="26">
    <w:abstractNumId w:val="29"/>
  </w:num>
  <w:num w:numId="27">
    <w:abstractNumId w:val="14"/>
  </w:num>
  <w:num w:numId="28">
    <w:abstractNumId w:val="32"/>
  </w:num>
  <w:num w:numId="29">
    <w:abstractNumId w:val="1"/>
  </w:num>
  <w:num w:numId="30">
    <w:abstractNumId w:val="0"/>
  </w:num>
  <w:num w:numId="31">
    <w:abstractNumId w:val="18"/>
  </w:num>
  <w:num w:numId="32">
    <w:abstractNumId w:val="26"/>
  </w:num>
  <w:num w:numId="33">
    <w:abstractNumId w:val="21"/>
  </w:num>
  <w:num w:numId="34">
    <w:abstractNumId w:val="24"/>
  </w:num>
  <w:num w:numId="3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283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065F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2C50"/>
    <w:rsid w:val="00053157"/>
    <w:rsid w:val="000533AF"/>
    <w:rsid w:val="00053B20"/>
    <w:rsid w:val="00056761"/>
    <w:rsid w:val="0005676C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36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307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B18"/>
    <w:rsid w:val="00151EF8"/>
    <w:rsid w:val="0015267D"/>
    <w:rsid w:val="001528E4"/>
    <w:rsid w:val="00154967"/>
    <w:rsid w:val="00155676"/>
    <w:rsid w:val="0015573E"/>
    <w:rsid w:val="0015640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37E0"/>
    <w:rsid w:val="00243A3B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6D2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17B1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2396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977"/>
    <w:rsid w:val="00456C48"/>
    <w:rsid w:val="00456F6D"/>
    <w:rsid w:val="00457A42"/>
    <w:rsid w:val="004600B9"/>
    <w:rsid w:val="00460925"/>
    <w:rsid w:val="0046316C"/>
    <w:rsid w:val="00464063"/>
    <w:rsid w:val="004642A7"/>
    <w:rsid w:val="00464A4A"/>
    <w:rsid w:val="004672E5"/>
    <w:rsid w:val="00467D2A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5A3B"/>
    <w:rsid w:val="005063D2"/>
    <w:rsid w:val="00507D1A"/>
    <w:rsid w:val="00510B17"/>
    <w:rsid w:val="00512252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8D4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6EB1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31D5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1276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0FA7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28ED"/>
    <w:rsid w:val="00645732"/>
    <w:rsid w:val="00645B0F"/>
    <w:rsid w:val="00646B68"/>
    <w:rsid w:val="00646D6B"/>
    <w:rsid w:val="00647C04"/>
    <w:rsid w:val="006513E3"/>
    <w:rsid w:val="006516A4"/>
    <w:rsid w:val="006530DC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809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1B63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E22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58F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3C2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9F9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9FC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27CCC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75B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8F6EBF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535B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15F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5383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DFD"/>
    <w:rsid w:val="00AE7EC7"/>
    <w:rsid w:val="00AF0B12"/>
    <w:rsid w:val="00AF1FFD"/>
    <w:rsid w:val="00AF2219"/>
    <w:rsid w:val="00AF319D"/>
    <w:rsid w:val="00AF331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29E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750"/>
    <w:rsid w:val="00B12B64"/>
    <w:rsid w:val="00B12D1A"/>
    <w:rsid w:val="00B13239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1F4"/>
    <w:rsid w:val="00BC641F"/>
    <w:rsid w:val="00BC699F"/>
    <w:rsid w:val="00BC6D9E"/>
    <w:rsid w:val="00BC73D5"/>
    <w:rsid w:val="00BC759A"/>
    <w:rsid w:val="00BD05C4"/>
    <w:rsid w:val="00BD1746"/>
    <w:rsid w:val="00BD35DF"/>
    <w:rsid w:val="00BD3C0B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957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6E0B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4DAB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09DC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3B1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47C1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0FA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6B87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4FF8"/>
    <w:rsid w:val="00EF5489"/>
    <w:rsid w:val="00EF5779"/>
    <w:rsid w:val="00EF5B9A"/>
    <w:rsid w:val="00EF5F55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E4C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8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6">
    <w:name w:val="font6"/>
    <w:basedOn w:val="Normal"/>
    <w:rsid w:val="007E658F"/>
    <w:pPr>
      <w:spacing w:before="100" w:after="100"/>
    </w:pPr>
    <w:rPr>
      <w:rFonts w:ascii="Arial" w:eastAsia="Arial Unicode MS" w:hAnsi="Ari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1945</cp:revision>
  <cp:lastPrinted>2018-04-18T05:05:00Z</cp:lastPrinted>
  <dcterms:created xsi:type="dcterms:W3CDTF">2012-09-11T07:20:00Z</dcterms:created>
  <dcterms:modified xsi:type="dcterms:W3CDTF">2018-04-18T05:06:00Z</dcterms:modified>
</cp:coreProperties>
</file>