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2"/>
        </w:numPr>
        <w:suppressLineNumbers/>
        <w:tabs>
          <w:tab w:val="left" w:pos="440"/>
        </w:tabs>
        <w:suppressAutoHyphens/>
        <w:spacing w:line="360" w:lineRule="auto"/>
        <w:ind w:left="576" w:hanging="576"/>
        <w:jc w:val="both"/>
        <w:rPr>
          <w:b/>
          <w:sz w:val="24"/>
          <w:szCs w:val="24"/>
        </w:rPr>
      </w:pPr>
      <w:r>
        <w:rPr>
          <w:b/>
          <w:sz w:val="24"/>
          <w:szCs w:val="24"/>
        </w:rPr>
        <w:t>PURPOSE:</w:t>
      </w:r>
    </w:p>
    <w:p>
      <w:pPr>
        <w:pStyle w:val="18"/>
        <w:suppressLineNumbers/>
        <w:suppressAutoHyphens/>
        <w:spacing w:line="360" w:lineRule="auto"/>
        <w:ind w:left="576"/>
        <w:jc w:val="both"/>
        <w:rPr>
          <w:b/>
          <w:sz w:val="24"/>
          <w:szCs w:val="24"/>
        </w:rPr>
      </w:pPr>
      <w:r>
        <w:rPr>
          <w:color w:val="000000"/>
          <w:sz w:val="24"/>
          <w:szCs w:val="24"/>
        </w:rPr>
        <w:t>To provide a procedure for qualifying and managing the vendors involved in supply of raw materials and packing materials.</w:t>
      </w:r>
    </w:p>
    <w:p>
      <w:pPr>
        <w:pStyle w:val="18"/>
        <w:numPr>
          <w:ilvl w:val="0"/>
          <w:numId w:val="2"/>
        </w:numPr>
        <w:suppressLineNumbers/>
        <w:suppressAutoHyphens/>
        <w:spacing w:line="360" w:lineRule="auto"/>
        <w:ind w:left="576" w:hanging="576"/>
        <w:jc w:val="both"/>
        <w:rPr>
          <w:b/>
          <w:sz w:val="24"/>
          <w:szCs w:val="24"/>
        </w:rPr>
      </w:pPr>
      <w:r>
        <w:rPr>
          <w:b/>
          <w:sz w:val="24"/>
          <w:szCs w:val="24"/>
        </w:rPr>
        <w:t>SCOPE:</w:t>
      </w:r>
    </w:p>
    <w:p>
      <w:pPr>
        <w:pStyle w:val="18"/>
        <w:suppressLineNumbers/>
        <w:suppressAutoHyphens/>
        <w:spacing w:line="360" w:lineRule="auto"/>
        <w:ind w:left="576"/>
        <w:jc w:val="both"/>
        <w:rPr>
          <w:b/>
          <w:sz w:val="24"/>
          <w:szCs w:val="24"/>
        </w:rPr>
      </w:pPr>
      <w:r>
        <w:rPr>
          <w:color w:val="000000"/>
          <w:sz w:val="24"/>
          <w:szCs w:val="24"/>
        </w:rPr>
        <w:t>This procedure is applicable to all vendors who supply the raw materials, packing materials for Discovery Laboratories Pvt. Ltd.</w:t>
      </w:r>
    </w:p>
    <w:p>
      <w:pPr>
        <w:pStyle w:val="18"/>
        <w:numPr>
          <w:ilvl w:val="0"/>
          <w:numId w:val="2"/>
        </w:numPr>
        <w:suppressLineNumbers/>
        <w:suppressAutoHyphens/>
        <w:spacing w:line="360" w:lineRule="auto"/>
        <w:ind w:left="576" w:hanging="576"/>
        <w:jc w:val="both"/>
        <w:rPr>
          <w:b/>
          <w:sz w:val="24"/>
          <w:szCs w:val="24"/>
        </w:rPr>
      </w:pPr>
      <w:r>
        <w:rPr>
          <w:b/>
          <w:sz w:val="24"/>
          <w:szCs w:val="24"/>
        </w:rPr>
        <w:t>RESPONSIBILITY:</w:t>
      </w:r>
    </w:p>
    <w:p>
      <w:pPr>
        <w:pStyle w:val="18"/>
        <w:numPr>
          <w:ilvl w:val="1"/>
          <w:numId w:val="2"/>
        </w:numPr>
        <w:suppressLineNumbers/>
        <w:suppressAutoHyphens/>
        <w:spacing w:line="360" w:lineRule="auto"/>
        <w:ind w:left="1152" w:hanging="576"/>
        <w:jc w:val="both"/>
        <w:rPr>
          <w:color w:val="000000"/>
          <w:sz w:val="24"/>
          <w:szCs w:val="24"/>
        </w:rPr>
      </w:pPr>
      <w:r>
        <w:rPr>
          <w:color w:val="000000"/>
          <w:sz w:val="24"/>
          <w:szCs w:val="24"/>
        </w:rPr>
        <w:t>It is the responsibility of the Quality Assurance departments to qualify the vendors of raw materials and to prepare a list of Key Starting Materials for each product.</w:t>
      </w:r>
    </w:p>
    <w:p>
      <w:pPr>
        <w:pStyle w:val="18"/>
        <w:numPr>
          <w:ilvl w:val="1"/>
          <w:numId w:val="2"/>
        </w:numPr>
        <w:suppressLineNumbers/>
        <w:suppressAutoHyphens/>
        <w:spacing w:line="360" w:lineRule="auto"/>
        <w:ind w:left="1152" w:hanging="576"/>
        <w:jc w:val="both"/>
        <w:rPr>
          <w:color w:val="000000"/>
          <w:sz w:val="24"/>
          <w:szCs w:val="24"/>
        </w:rPr>
      </w:pPr>
      <w:r>
        <w:rPr>
          <w:color w:val="000000"/>
          <w:sz w:val="24"/>
          <w:szCs w:val="24"/>
        </w:rPr>
        <w:t>It is the responsibility of R&amp;D to conduct use test and submit the report to Quality Assurance if required.</w:t>
      </w:r>
    </w:p>
    <w:p>
      <w:pPr>
        <w:pStyle w:val="18"/>
        <w:numPr>
          <w:ilvl w:val="1"/>
          <w:numId w:val="2"/>
        </w:numPr>
        <w:suppressLineNumbers/>
        <w:suppressAutoHyphens/>
        <w:spacing w:line="360" w:lineRule="auto"/>
        <w:ind w:left="1152" w:hanging="576"/>
        <w:jc w:val="both"/>
        <w:rPr>
          <w:color w:val="000000"/>
          <w:sz w:val="24"/>
          <w:szCs w:val="24"/>
        </w:rPr>
      </w:pPr>
      <w:r>
        <w:rPr>
          <w:color w:val="000000"/>
          <w:sz w:val="24"/>
          <w:szCs w:val="24"/>
        </w:rPr>
        <w:t>It is the responsibility of ware house department to receive the samples as per the procedure.</w:t>
      </w:r>
    </w:p>
    <w:p>
      <w:pPr>
        <w:pStyle w:val="18"/>
        <w:numPr>
          <w:ilvl w:val="1"/>
          <w:numId w:val="2"/>
        </w:numPr>
        <w:suppressLineNumbers/>
        <w:suppressAutoHyphens/>
        <w:spacing w:line="360" w:lineRule="auto"/>
        <w:ind w:left="1152" w:hanging="576"/>
        <w:jc w:val="both"/>
        <w:rPr>
          <w:color w:val="000000"/>
          <w:sz w:val="24"/>
          <w:szCs w:val="24"/>
        </w:rPr>
      </w:pPr>
      <w:r>
        <w:rPr>
          <w:color w:val="000000"/>
          <w:sz w:val="24"/>
          <w:szCs w:val="24"/>
        </w:rPr>
        <w:t>It is the responsibility of quality control department to analyze the samples and submit the results to quality assurance.</w:t>
      </w:r>
    </w:p>
    <w:p>
      <w:pPr>
        <w:pStyle w:val="18"/>
        <w:numPr>
          <w:ilvl w:val="0"/>
          <w:numId w:val="2"/>
        </w:numPr>
        <w:suppressLineNumbers/>
        <w:suppressAutoHyphens/>
        <w:spacing w:line="360" w:lineRule="auto"/>
        <w:ind w:left="576" w:hanging="576"/>
        <w:jc w:val="both"/>
        <w:rPr>
          <w:b/>
          <w:sz w:val="24"/>
          <w:szCs w:val="24"/>
        </w:rPr>
      </w:pPr>
      <w:r>
        <w:rPr>
          <w:b/>
          <w:sz w:val="24"/>
          <w:szCs w:val="24"/>
        </w:rPr>
        <w:t>DEFINITIONS:</w:t>
      </w:r>
    </w:p>
    <w:p>
      <w:pPr>
        <w:pStyle w:val="18"/>
        <w:numPr>
          <w:ilvl w:val="1"/>
          <w:numId w:val="2"/>
        </w:numPr>
        <w:suppressLineNumbers/>
        <w:suppressAutoHyphens/>
        <w:spacing w:line="360" w:lineRule="auto"/>
        <w:ind w:left="1152" w:hanging="576"/>
        <w:jc w:val="both"/>
        <w:rPr>
          <w:sz w:val="24"/>
          <w:szCs w:val="24"/>
        </w:rPr>
      </w:pPr>
      <w:r>
        <w:rPr>
          <w:b/>
          <w:sz w:val="24"/>
          <w:szCs w:val="24"/>
        </w:rPr>
        <w:t xml:space="preserve">KSM: </w:t>
      </w:r>
      <w:r>
        <w:rPr>
          <w:sz w:val="24"/>
          <w:szCs w:val="24"/>
        </w:rPr>
        <w:t xml:space="preserve">A raw material, intermediate, that is used in producing of an intermediate incorporated as a significant structural fragment into the structure of desired entity. </w:t>
      </w:r>
    </w:p>
    <w:p>
      <w:pPr>
        <w:pStyle w:val="18"/>
        <w:numPr>
          <w:ilvl w:val="1"/>
          <w:numId w:val="2"/>
        </w:numPr>
        <w:suppressLineNumbers/>
        <w:suppressAutoHyphens/>
        <w:spacing w:line="360" w:lineRule="auto"/>
        <w:ind w:left="1152" w:hanging="576"/>
        <w:jc w:val="both"/>
        <w:rPr>
          <w:sz w:val="24"/>
          <w:szCs w:val="24"/>
        </w:rPr>
      </w:pPr>
      <w:r>
        <w:rPr>
          <w:b/>
          <w:sz w:val="24"/>
          <w:szCs w:val="24"/>
        </w:rPr>
        <w:t>General Raw material:</w:t>
      </w:r>
      <w:r>
        <w:rPr>
          <w:sz w:val="24"/>
          <w:szCs w:val="24"/>
        </w:rPr>
        <w:t xml:space="preserve"> A general term used to denote starting materials, reagents, and solvents intended for use in the production of intermediates or APIs.</w:t>
      </w:r>
    </w:p>
    <w:p>
      <w:pPr>
        <w:pStyle w:val="18"/>
        <w:numPr>
          <w:ilvl w:val="0"/>
          <w:numId w:val="2"/>
        </w:numPr>
        <w:suppressLineNumbers/>
        <w:suppressAutoHyphens/>
        <w:spacing w:line="360" w:lineRule="auto"/>
        <w:ind w:left="576" w:hanging="576"/>
        <w:jc w:val="both"/>
        <w:rPr>
          <w:b/>
          <w:sz w:val="24"/>
          <w:szCs w:val="24"/>
        </w:rPr>
      </w:pPr>
      <w:r>
        <w:rPr>
          <w:b/>
          <w:sz w:val="24"/>
          <w:szCs w:val="24"/>
        </w:rPr>
        <w:t>PROCEDURE:</w:t>
      </w:r>
    </w:p>
    <w:p>
      <w:pPr>
        <w:pStyle w:val="18"/>
        <w:numPr>
          <w:ilvl w:val="1"/>
          <w:numId w:val="2"/>
        </w:numPr>
        <w:suppressLineNumbers/>
        <w:suppressAutoHyphens/>
        <w:spacing w:line="360" w:lineRule="auto"/>
        <w:ind w:left="1152" w:hanging="576"/>
        <w:jc w:val="both"/>
        <w:rPr>
          <w:b/>
          <w:color w:val="000000"/>
          <w:sz w:val="24"/>
          <w:szCs w:val="24"/>
        </w:rPr>
      </w:pPr>
      <w:r>
        <w:rPr>
          <w:b/>
          <w:color w:val="000000"/>
          <w:sz w:val="24"/>
          <w:szCs w:val="24"/>
        </w:rPr>
        <w:t>New vendor procedure for KSM:</w:t>
      </w:r>
      <w:r>
        <w:rPr>
          <w:b/>
          <w:color w:val="000000"/>
          <w:sz w:val="24"/>
          <w:szCs w:val="24"/>
        </w:rPr>
        <w:tab/>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Purchase department shall identify vendors for each material based on the ability of vendor to comply with the specifications as per Discovery Specification.</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 xml:space="preserve">The Purchase shall send Vendor Questionnaire forms as per current version QA016-FM060 to vendor. </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Purchase shall get all the vendor qualification documents along with samples from the vendor, preferably 3 samples.</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Purchase shall send the samples to Quality Assurance along with vendor qualification documents.</w:t>
      </w:r>
    </w:p>
    <w:p>
      <w:pPr>
        <w:pStyle w:val="18"/>
        <w:numPr>
          <w:ilvl w:val="2"/>
          <w:numId w:val="2"/>
        </w:numPr>
        <w:suppressLineNumbers/>
        <w:suppressAutoHyphens/>
        <w:spacing w:line="360" w:lineRule="auto"/>
        <w:ind w:left="1780" w:leftChars="0" w:hanging="680" w:firstLineChars="0"/>
        <w:jc w:val="both"/>
        <w:rPr>
          <w:color w:val="000000"/>
          <w:sz w:val="24"/>
          <w:szCs w:val="24"/>
          <w:highlight w:val="lightGray"/>
        </w:rPr>
      </w:pPr>
      <w:r>
        <w:rPr>
          <w:rFonts w:hint="default"/>
          <w:color w:val="000000"/>
          <w:sz w:val="24"/>
          <w:szCs w:val="24"/>
          <w:highlight w:val="lightGray"/>
          <w:lang w:val="en-US"/>
        </w:rPr>
        <w:t>QA Shall review all relevant documents related to entire vendor qualification.</w:t>
      </w:r>
    </w:p>
    <w:p>
      <w:pPr>
        <w:pStyle w:val="18"/>
        <w:numPr>
          <w:ilvl w:val="2"/>
          <w:numId w:val="2"/>
        </w:numPr>
        <w:suppressLineNumbers/>
        <w:suppressAutoHyphens/>
        <w:spacing w:line="360" w:lineRule="auto"/>
        <w:ind w:left="1780" w:leftChars="0" w:hanging="680" w:firstLineChars="0"/>
        <w:jc w:val="both"/>
        <w:rPr>
          <w:color w:val="000000"/>
          <w:sz w:val="24"/>
          <w:szCs w:val="24"/>
          <w:highlight w:val="lightGray"/>
        </w:rPr>
      </w:pPr>
      <w:r>
        <w:rPr>
          <w:rFonts w:hint="default"/>
          <w:color w:val="000000"/>
          <w:sz w:val="24"/>
          <w:szCs w:val="24"/>
          <w:highlight w:val="lightGray"/>
          <w:lang w:val="en-US"/>
        </w:rPr>
        <w:t>VSL (Vendor Support Lab) representative shall be responsible to analyse vendor samples and use test sample and report the same.</w:t>
      </w:r>
    </w:p>
    <w:p>
      <w:pPr>
        <w:pStyle w:val="18"/>
        <w:numPr>
          <w:ilvl w:val="2"/>
          <w:numId w:val="2"/>
        </w:numPr>
        <w:suppressLineNumbers/>
        <w:suppressAutoHyphens/>
        <w:spacing w:line="360" w:lineRule="auto"/>
        <w:ind w:left="1780" w:leftChars="0" w:hanging="680" w:firstLineChars="0"/>
        <w:jc w:val="both"/>
        <w:rPr>
          <w:color w:val="000000"/>
          <w:sz w:val="24"/>
          <w:szCs w:val="24"/>
          <w:highlight w:val="lightGray"/>
        </w:rPr>
      </w:pPr>
      <w:r>
        <w:rPr>
          <w:rFonts w:hint="default"/>
          <w:color w:val="000000"/>
          <w:sz w:val="24"/>
          <w:szCs w:val="24"/>
          <w:highlight w:val="lightGray"/>
          <w:lang w:val="en-US"/>
        </w:rPr>
        <w:t>QC (Quality Control) representative shall be responsible to provide testing support during vendor qualification process as defined.</w:t>
      </w:r>
    </w:p>
    <w:p>
      <w:pPr>
        <w:pStyle w:val="18"/>
        <w:numPr>
          <w:ilvl w:val="2"/>
          <w:numId w:val="2"/>
        </w:numPr>
        <w:suppressLineNumbers/>
        <w:suppressAutoHyphens/>
        <w:spacing w:line="360" w:lineRule="auto"/>
        <w:ind w:left="1780" w:leftChars="0" w:hanging="680" w:firstLineChars="0"/>
        <w:jc w:val="both"/>
        <w:rPr>
          <w:color w:val="000000"/>
          <w:sz w:val="24"/>
          <w:szCs w:val="24"/>
          <w:highlight w:val="lightGray"/>
        </w:rPr>
      </w:pPr>
      <w:r>
        <w:rPr>
          <w:rFonts w:hint="default"/>
          <w:color w:val="000000"/>
          <w:sz w:val="24"/>
          <w:szCs w:val="24"/>
          <w:highlight w:val="lightGray"/>
          <w:lang w:val="en-US"/>
        </w:rPr>
        <w:t>PDL (Process Development Lab) representative shall be responsible to conduct use test as defined.</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In case, it is not possible to obtain samples from three different batches (applicable to Hazardous materials only), then certificate of analysis shall be obtained from three different batches by Purchase, for review by Quality Assurance. Based on review, Quality Assurance shall give clearance to Purchase for trial supply. The quality data along shall be reviewed by QA before giving further clearance.</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If direct commercial batches are received from non approved vendor ware house department will intimate to Quality Assurance through IOC.</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Quality Assurance department shall intimate to Quality Control for sampling and analysis. After completion of analysis QA shall establish the Quality Equivalence report in between new vendor and existing vendor. Upon satisfactory of the Quality Equivalence, QA shall give the clearance for commercial consumption.</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Quality Assurance shall record the details of the Raw Material, Manufacturer Name, Date of Samples receipt &amp; the details of the documents receipt in the New Vendor Evaluation Record.</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QA shall ensure that the synthetic scheme of KSM from new vendor shall be equivalent to the existing vendor scheme. Where the new vendor synthetic scheme differs from existing then QA shall review the synthetic scheme of the starting material and check whether the current specification and MOA can control all the impurities/potential impurities of the new vendor material either at starting material or subsequent stages. In case the existing controls are inadequate new MOA / additional test shall be developed to control all the potential impurities at appropriate stages.</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Quality Assurance shall send samples to QC after review of the vendor qualification documents.</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Purchase shall place the trial order with a specific requirement to supply from different batches for starting materials on the vendor for the material on obtaining clearance from Quality Assurance.</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On receipt of the trial supplies at warehouse from new vendor, ware house shall inform to Quality Assurance/ Production/ Quality Control before inward entry.</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Production shall raise the change control form for Consumption. QA shall mention the stages at which equivalence should be shown based on new vendor scheme.</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First In First out (FIFO) is not applicable for issue of raw materials during vendor qualification.</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After completion of three batches execution with new vendor material, production shall compile a report and submit to Quality Assurance.</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 xml:space="preserve">Based on the review of Quality Assurance shall qualify/ disqualify the vendor and intimate to Purchase. </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Raise the Change control form and update Approved vendor list whenever required.</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Approved vendor list shall be maintained for Raw material i.e. General, packing and Key starting material.</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If the same raw material (from an already approved vendor) has to be used for different product, the requirements of raw material w.r.t specific process of product shall be reviewed by Quality Assurance before giving clearance.</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 xml:space="preserve"> “Vendor under Evaluation” status shall be displayed for trial consignments. </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Based on one year supply &amp; Quality data retrospective qualification shall performed for KSM for which initial qualification is not performed.</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New vendor samples numbering system is follows:</w:t>
      </w:r>
    </w:p>
    <w:p>
      <w:pPr>
        <w:pStyle w:val="18"/>
        <w:suppressLineNumbers/>
        <w:suppressAutoHyphens/>
        <w:spacing w:line="360" w:lineRule="auto"/>
        <w:ind w:left="1831"/>
        <w:jc w:val="both"/>
        <w:rPr>
          <w:color w:val="000000"/>
          <w:sz w:val="24"/>
          <w:szCs w:val="24"/>
        </w:rPr>
      </w:pPr>
      <w:r>
        <w:rPr>
          <w:color w:val="000000"/>
          <w:sz w:val="24"/>
          <w:szCs w:val="24"/>
        </w:rPr>
        <w:t>NVE/XXX/YYNNN</w:t>
      </w:r>
    </w:p>
    <w:p>
      <w:pPr>
        <w:pStyle w:val="18"/>
        <w:suppressLineNumbers/>
        <w:suppressAutoHyphens/>
        <w:spacing w:line="360" w:lineRule="auto"/>
        <w:ind w:left="1831"/>
        <w:jc w:val="both"/>
        <w:rPr>
          <w:color w:val="000000"/>
          <w:sz w:val="24"/>
          <w:szCs w:val="24"/>
        </w:rPr>
      </w:pPr>
      <w:r>
        <w:rPr>
          <w:color w:val="000000"/>
          <w:sz w:val="24"/>
          <w:szCs w:val="24"/>
        </w:rPr>
        <w:t>NVE</w:t>
      </w:r>
      <w:r>
        <w:rPr>
          <w:color w:val="000000"/>
          <w:sz w:val="24"/>
          <w:szCs w:val="24"/>
        </w:rPr>
        <w:tab/>
      </w:r>
      <w:r>
        <w:rPr>
          <w:color w:val="000000"/>
          <w:sz w:val="24"/>
          <w:szCs w:val="24"/>
        </w:rPr>
        <w:t>: New Vendor Evaluation</w:t>
      </w:r>
    </w:p>
    <w:p>
      <w:pPr>
        <w:pStyle w:val="18"/>
        <w:suppressLineNumbers/>
        <w:suppressAutoHyphens/>
        <w:spacing w:line="360" w:lineRule="auto"/>
        <w:ind w:left="1831"/>
        <w:jc w:val="both"/>
        <w:rPr>
          <w:color w:val="000000"/>
          <w:sz w:val="24"/>
          <w:szCs w:val="24"/>
        </w:rPr>
      </w:pPr>
      <w:r>
        <w:rPr>
          <w:color w:val="000000"/>
          <w:sz w:val="24"/>
          <w:szCs w:val="24"/>
        </w:rPr>
        <w:t>XXX</w:t>
      </w:r>
      <w:r>
        <w:rPr>
          <w:color w:val="000000"/>
          <w:sz w:val="24"/>
          <w:szCs w:val="24"/>
        </w:rPr>
        <w:tab/>
      </w:r>
      <w:r>
        <w:rPr>
          <w:color w:val="000000"/>
          <w:sz w:val="24"/>
          <w:szCs w:val="24"/>
        </w:rPr>
        <w:t xml:space="preserve">: RM code </w:t>
      </w:r>
    </w:p>
    <w:p>
      <w:pPr>
        <w:pStyle w:val="18"/>
        <w:suppressLineNumbers/>
        <w:suppressAutoHyphens/>
        <w:spacing w:line="360" w:lineRule="auto"/>
        <w:ind w:left="1831"/>
        <w:jc w:val="both"/>
        <w:rPr>
          <w:color w:val="000000"/>
          <w:sz w:val="24"/>
          <w:szCs w:val="24"/>
        </w:rPr>
      </w:pPr>
      <w:r>
        <w:rPr>
          <w:color w:val="000000"/>
          <w:sz w:val="24"/>
          <w:szCs w:val="24"/>
        </w:rPr>
        <w:t>YY</w:t>
      </w:r>
      <w:r>
        <w:rPr>
          <w:color w:val="000000"/>
          <w:sz w:val="24"/>
          <w:szCs w:val="24"/>
        </w:rPr>
        <w:tab/>
      </w:r>
      <w:r>
        <w:rPr>
          <w:color w:val="000000"/>
          <w:sz w:val="24"/>
          <w:szCs w:val="24"/>
        </w:rPr>
        <w:t>: Year code i.e.’18’</w:t>
      </w:r>
    </w:p>
    <w:p>
      <w:pPr>
        <w:pStyle w:val="18"/>
        <w:suppressLineNumbers/>
        <w:suppressAutoHyphens/>
        <w:spacing w:line="360" w:lineRule="auto"/>
        <w:ind w:left="1831"/>
        <w:jc w:val="both"/>
        <w:rPr>
          <w:color w:val="000000"/>
          <w:sz w:val="24"/>
          <w:szCs w:val="24"/>
        </w:rPr>
      </w:pPr>
      <w:r>
        <w:rPr>
          <w:color w:val="000000"/>
          <w:sz w:val="24"/>
          <w:szCs w:val="24"/>
        </w:rPr>
        <w:t>NNN</w:t>
      </w:r>
      <w:r>
        <w:rPr>
          <w:color w:val="000000"/>
          <w:sz w:val="24"/>
          <w:szCs w:val="24"/>
        </w:rPr>
        <w:tab/>
      </w:r>
      <w:r>
        <w:rPr>
          <w:color w:val="000000"/>
          <w:sz w:val="24"/>
          <w:szCs w:val="24"/>
        </w:rPr>
        <w:t>: Serial number will starts with “001”</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Analytical numbering shall be follows:</w:t>
      </w:r>
    </w:p>
    <w:p>
      <w:pPr>
        <w:pStyle w:val="18"/>
        <w:suppressLineNumbers/>
        <w:suppressAutoHyphens/>
        <w:spacing w:line="360" w:lineRule="auto"/>
        <w:ind w:left="1831"/>
        <w:jc w:val="both"/>
        <w:rPr>
          <w:color w:val="000000"/>
          <w:sz w:val="24"/>
          <w:szCs w:val="24"/>
        </w:rPr>
      </w:pPr>
      <w:r>
        <w:rPr>
          <w:color w:val="000000"/>
          <w:sz w:val="24"/>
          <w:szCs w:val="24"/>
        </w:rPr>
        <w:t>NVE/YYNNN</w:t>
      </w:r>
    </w:p>
    <w:p>
      <w:pPr>
        <w:pStyle w:val="18"/>
        <w:suppressLineNumbers/>
        <w:suppressAutoHyphens/>
        <w:spacing w:line="360" w:lineRule="auto"/>
        <w:ind w:left="1831"/>
        <w:jc w:val="both"/>
        <w:rPr>
          <w:color w:val="000000"/>
          <w:sz w:val="24"/>
          <w:szCs w:val="24"/>
        </w:rPr>
      </w:pPr>
      <w:r>
        <w:rPr>
          <w:color w:val="000000"/>
          <w:sz w:val="24"/>
          <w:szCs w:val="24"/>
        </w:rPr>
        <w:t>NVE</w:t>
      </w:r>
      <w:r>
        <w:rPr>
          <w:color w:val="000000"/>
          <w:sz w:val="24"/>
          <w:szCs w:val="24"/>
        </w:rPr>
        <w:tab/>
      </w:r>
      <w:r>
        <w:rPr>
          <w:color w:val="000000"/>
          <w:sz w:val="24"/>
          <w:szCs w:val="24"/>
        </w:rPr>
        <w:t>: New vendor evaluation</w:t>
      </w:r>
    </w:p>
    <w:p>
      <w:pPr>
        <w:pStyle w:val="18"/>
        <w:suppressLineNumbers/>
        <w:suppressAutoHyphens/>
        <w:spacing w:line="360" w:lineRule="auto"/>
        <w:ind w:left="1831"/>
        <w:jc w:val="both"/>
        <w:rPr>
          <w:color w:val="000000"/>
          <w:sz w:val="24"/>
          <w:szCs w:val="24"/>
        </w:rPr>
      </w:pPr>
      <w:r>
        <w:rPr>
          <w:color w:val="000000"/>
          <w:sz w:val="24"/>
          <w:szCs w:val="24"/>
        </w:rPr>
        <w:t>YY</w:t>
      </w:r>
      <w:r>
        <w:rPr>
          <w:color w:val="000000"/>
          <w:sz w:val="24"/>
          <w:szCs w:val="24"/>
        </w:rPr>
        <w:tab/>
      </w:r>
      <w:r>
        <w:rPr>
          <w:color w:val="000000"/>
          <w:sz w:val="24"/>
          <w:szCs w:val="24"/>
        </w:rPr>
        <w:t>: Year i.e.’18’</w:t>
      </w:r>
    </w:p>
    <w:p>
      <w:pPr>
        <w:pStyle w:val="18"/>
        <w:suppressLineNumbers/>
        <w:suppressAutoHyphens/>
        <w:spacing w:line="360" w:lineRule="auto"/>
        <w:ind w:left="1831"/>
        <w:jc w:val="both"/>
        <w:rPr>
          <w:color w:val="000000"/>
          <w:sz w:val="24"/>
          <w:szCs w:val="24"/>
        </w:rPr>
      </w:pPr>
      <w:r>
        <w:rPr>
          <w:color w:val="000000"/>
          <w:sz w:val="24"/>
          <w:szCs w:val="24"/>
        </w:rPr>
        <w:t>NNN</w:t>
      </w:r>
      <w:r>
        <w:rPr>
          <w:color w:val="000000"/>
          <w:sz w:val="24"/>
          <w:szCs w:val="24"/>
        </w:rPr>
        <w:tab/>
      </w:r>
      <w:r>
        <w:rPr>
          <w:color w:val="000000"/>
          <w:sz w:val="24"/>
          <w:szCs w:val="24"/>
        </w:rPr>
        <w:t>: Serial number in particular year</w:t>
      </w:r>
    </w:p>
    <w:p>
      <w:pPr>
        <w:pStyle w:val="18"/>
        <w:numPr>
          <w:ilvl w:val="1"/>
          <w:numId w:val="2"/>
        </w:numPr>
        <w:suppressLineNumbers/>
        <w:suppressAutoHyphens/>
        <w:spacing w:line="360" w:lineRule="auto"/>
        <w:ind w:left="1152" w:hanging="576"/>
        <w:jc w:val="both"/>
        <w:rPr>
          <w:b/>
          <w:color w:val="000000"/>
          <w:sz w:val="24"/>
          <w:szCs w:val="24"/>
        </w:rPr>
      </w:pPr>
      <w:r>
        <w:rPr>
          <w:b/>
          <w:color w:val="000000"/>
          <w:sz w:val="24"/>
          <w:szCs w:val="24"/>
        </w:rPr>
        <w:t xml:space="preserve">Vendor Qualification for General raw materials &amp; Packing materials.  </w:t>
      </w:r>
    </w:p>
    <w:p>
      <w:pPr>
        <w:pStyle w:val="18"/>
        <w:numPr>
          <w:ilvl w:val="2"/>
          <w:numId w:val="2"/>
        </w:numPr>
        <w:suppressLineNumbers/>
        <w:suppressAutoHyphens/>
        <w:spacing w:line="360" w:lineRule="auto"/>
        <w:ind w:left="1780" w:leftChars="0" w:hanging="680" w:firstLineChars="0"/>
        <w:jc w:val="both"/>
        <w:rPr>
          <w:color w:val="000000"/>
          <w:sz w:val="24"/>
          <w:szCs w:val="24"/>
          <w:lang w:val="fr-FR"/>
        </w:rPr>
      </w:pPr>
      <w:r>
        <w:rPr>
          <w:color w:val="000000"/>
          <w:sz w:val="24"/>
          <w:szCs w:val="24"/>
          <w:lang w:val="fr-FR"/>
        </w:rPr>
        <w:t xml:space="preserve">Purchase </w:t>
      </w:r>
      <w:r>
        <w:rPr>
          <w:color w:val="000000"/>
          <w:sz w:val="24"/>
          <w:szCs w:val="24"/>
          <w:lang w:val="en-IN"/>
        </w:rPr>
        <w:t>department</w:t>
      </w:r>
      <w:r>
        <w:rPr>
          <w:color w:val="000000"/>
          <w:sz w:val="24"/>
          <w:szCs w:val="24"/>
          <w:lang w:val="fr-FR"/>
        </w:rPr>
        <w:t xml:space="preserve"> should provide filled vendor qualification questionnaire for general  raw materials current version (QA016-FM137) &amp; </w:t>
      </w:r>
      <w:r>
        <w:rPr>
          <w:color w:val="000000"/>
          <w:sz w:val="24"/>
          <w:szCs w:val="24"/>
        </w:rPr>
        <w:t>Packing</w:t>
      </w:r>
      <w:r>
        <w:rPr>
          <w:color w:val="000000"/>
          <w:sz w:val="24"/>
          <w:szCs w:val="24"/>
          <w:lang w:val="fr-FR"/>
        </w:rPr>
        <w:t xml:space="preserve"> material current version (QA016-FM138) to QA  before shipment of any material.</w:t>
      </w:r>
    </w:p>
    <w:p>
      <w:pPr>
        <w:pStyle w:val="18"/>
        <w:numPr>
          <w:ilvl w:val="2"/>
          <w:numId w:val="2"/>
        </w:numPr>
        <w:suppressLineNumbers/>
        <w:suppressAutoHyphens/>
        <w:spacing w:line="360" w:lineRule="auto"/>
        <w:ind w:left="1780" w:leftChars="0" w:hanging="680" w:firstLineChars="0"/>
        <w:jc w:val="both"/>
        <w:rPr>
          <w:color w:val="000000"/>
          <w:sz w:val="24"/>
          <w:szCs w:val="24"/>
          <w:lang w:val="fr-FR"/>
        </w:rPr>
      </w:pPr>
      <w:r>
        <w:rPr>
          <w:color w:val="000000"/>
          <w:sz w:val="24"/>
          <w:szCs w:val="24"/>
          <w:lang w:val="fr-FR"/>
        </w:rPr>
        <w:t xml:space="preserve">After received VQ documents QA department shall verify the documents, give clearance to purchase for procurement. </w:t>
      </w:r>
    </w:p>
    <w:p>
      <w:pPr>
        <w:pStyle w:val="18"/>
        <w:numPr>
          <w:ilvl w:val="2"/>
          <w:numId w:val="2"/>
        </w:numPr>
        <w:suppressLineNumbers/>
        <w:suppressAutoHyphens/>
        <w:spacing w:line="360" w:lineRule="auto"/>
        <w:ind w:left="1780" w:leftChars="0" w:hanging="680" w:firstLineChars="0"/>
        <w:jc w:val="both"/>
        <w:rPr>
          <w:color w:val="000000"/>
          <w:sz w:val="24"/>
          <w:szCs w:val="24"/>
          <w:lang w:val="fr-FR"/>
        </w:rPr>
      </w:pPr>
      <w:r>
        <w:rPr>
          <w:color w:val="000000"/>
          <w:sz w:val="24"/>
          <w:szCs w:val="24"/>
          <w:lang w:val="fr-FR"/>
        </w:rPr>
        <w:t xml:space="preserve">The approved vendor list should be updated and this should be communicated to purchase and ware house departments. </w:t>
      </w:r>
    </w:p>
    <w:p>
      <w:pPr>
        <w:pStyle w:val="18"/>
        <w:numPr>
          <w:ilvl w:val="2"/>
          <w:numId w:val="2"/>
        </w:numPr>
        <w:suppressLineNumbers/>
        <w:suppressAutoHyphens/>
        <w:spacing w:line="360" w:lineRule="auto"/>
        <w:ind w:left="1780" w:leftChars="0" w:hanging="680" w:firstLineChars="0"/>
        <w:jc w:val="both"/>
        <w:rPr>
          <w:color w:val="000000"/>
          <w:sz w:val="24"/>
          <w:szCs w:val="24"/>
          <w:lang w:val="fr-FR"/>
        </w:rPr>
      </w:pPr>
      <w:r>
        <w:rPr>
          <w:color w:val="000000"/>
          <w:sz w:val="24"/>
          <w:szCs w:val="24"/>
          <w:lang w:val="fr-FR"/>
        </w:rPr>
        <w:t>Based on the one year supply &amp; Quality data retrospective qualification shall   Performed for General raw materials and Packing materials for which initial qualification is not performed.</w:t>
      </w:r>
    </w:p>
    <w:p>
      <w:pPr>
        <w:pStyle w:val="18"/>
        <w:numPr>
          <w:ilvl w:val="2"/>
          <w:numId w:val="2"/>
        </w:numPr>
        <w:suppressLineNumbers/>
        <w:suppressAutoHyphens/>
        <w:spacing w:line="360" w:lineRule="auto"/>
        <w:ind w:left="1780" w:leftChars="0" w:hanging="680" w:firstLineChars="0"/>
        <w:jc w:val="both"/>
        <w:rPr>
          <w:color w:val="000000"/>
          <w:sz w:val="24"/>
          <w:szCs w:val="24"/>
          <w:highlight w:val="none"/>
          <w:shd w:val="clear" w:color="auto" w:fill="auto"/>
          <w:lang w:val="fr-FR"/>
        </w:rPr>
      </w:pPr>
      <w:r>
        <w:rPr>
          <w:rFonts w:hint="default"/>
          <w:color w:val="000000"/>
          <w:sz w:val="24"/>
          <w:szCs w:val="24"/>
          <w:highlight w:val="none"/>
          <w:shd w:val="clear" w:color="auto" w:fill="auto"/>
          <w:lang w:val="en-US"/>
        </w:rPr>
        <w:t xml:space="preserve">Primary packing materials re qualification audit shall be performed once in 3 years±3months. </w:t>
      </w:r>
    </w:p>
    <w:p>
      <w:pPr>
        <w:pStyle w:val="18"/>
        <w:numPr>
          <w:ilvl w:val="1"/>
          <w:numId w:val="2"/>
        </w:numPr>
        <w:suppressLineNumbers/>
        <w:suppressAutoHyphens/>
        <w:spacing w:line="360" w:lineRule="auto"/>
        <w:ind w:left="1152" w:hanging="576"/>
        <w:jc w:val="both"/>
        <w:rPr>
          <w:b/>
          <w:color w:val="000000"/>
          <w:sz w:val="24"/>
          <w:szCs w:val="24"/>
          <w:lang w:val="fr-FR"/>
        </w:rPr>
      </w:pPr>
      <w:r>
        <w:rPr>
          <w:b/>
          <w:color w:val="000000"/>
          <w:sz w:val="24"/>
          <w:szCs w:val="24"/>
          <w:lang w:val="fr-FR"/>
        </w:rPr>
        <w:t>Vendor Audit:</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The approved vendors for KSM shall be audited once in every three years or when ever required.</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Purchase department shall coordinate with QA and attend the vendor audit with customer.</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Quality Assurance shall co-ordinate vendor audit activity.</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 xml:space="preserve">The audit team shall visit the facility of the vendor and carry out an audit of all the relevant departments in accordance with the audit checklist.  </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The vendor shall give the corrective and preventive action for the non-conforming issues and such reports can be closed based on satisfactory review during re-visit or satisfactory response from vendor.</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In case any raw material is supplied through customers (CMU) mode, follow as below:</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Samples are not required.</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Based on raw material COA, enter the manufacturer details in new vendor evaluation and no need to conduct full study analysis at QC (any material).</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Request customer to share the Vendor qualification documents.</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Follow customer instructions in case of any observed.</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Overseas manufacturers shall be qualified based on Vendor Questionnaire and TSE/ BSE declaration. Vendor audits shall be performed on need basis.</w:t>
      </w:r>
    </w:p>
    <w:p>
      <w:pPr>
        <w:pStyle w:val="18"/>
        <w:numPr>
          <w:ilvl w:val="1"/>
          <w:numId w:val="2"/>
        </w:numPr>
        <w:suppressLineNumbers/>
        <w:suppressAutoHyphens/>
        <w:spacing w:line="360" w:lineRule="auto"/>
        <w:ind w:left="1152" w:hanging="576"/>
        <w:jc w:val="both"/>
        <w:rPr>
          <w:b/>
          <w:color w:val="000000"/>
          <w:sz w:val="24"/>
          <w:szCs w:val="24"/>
        </w:rPr>
      </w:pPr>
      <w:r>
        <w:rPr>
          <w:b/>
          <w:color w:val="000000"/>
          <w:sz w:val="24"/>
          <w:szCs w:val="24"/>
        </w:rPr>
        <w:t>De-listing Procedure:</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Quality Assurance Department shall compile a report on vendor analysis on a yearly basis.</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 xml:space="preserve">If the annual vendor analysis data shows that more than 10% of the batches are rejected when there are minimum 30 supplies or above then such vendors shall be removed from Approved Vendors List. </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If the Raw materials not procured from approved vendor for last 3 years, then remove this vendor from Approved Vendor List and add in Block vendor List.</w:t>
      </w:r>
    </w:p>
    <w:p>
      <w:pPr>
        <w:pStyle w:val="18"/>
        <w:numPr>
          <w:ilvl w:val="2"/>
          <w:numId w:val="2"/>
        </w:numPr>
        <w:suppressLineNumbers/>
        <w:suppressAutoHyphens/>
        <w:spacing w:line="360" w:lineRule="auto"/>
        <w:ind w:left="1780" w:leftChars="0" w:hanging="680" w:firstLineChars="0"/>
        <w:jc w:val="both"/>
        <w:rPr>
          <w:color w:val="000000"/>
          <w:sz w:val="24"/>
          <w:szCs w:val="24"/>
        </w:rPr>
      </w:pPr>
      <w:r>
        <w:rPr>
          <w:color w:val="000000"/>
          <w:sz w:val="24"/>
          <w:szCs w:val="24"/>
        </w:rPr>
        <w:t xml:space="preserve">In case re-supply to be required from the Block listed vendor shall re-qualify the same vendor as per procedure. </w:t>
      </w:r>
    </w:p>
    <w:p>
      <w:pPr>
        <w:pStyle w:val="18"/>
        <w:numPr>
          <w:ilvl w:val="2"/>
          <w:numId w:val="2"/>
        </w:numPr>
        <w:suppressLineNumbers/>
        <w:suppressAutoHyphens/>
        <w:spacing w:after="240" w:line="360" w:lineRule="auto"/>
        <w:ind w:left="1780" w:leftChars="0" w:hanging="680" w:firstLineChars="0"/>
        <w:jc w:val="both"/>
        <w:rPr>
          <w:color w:val="000000"/>
          <w:sz w:val="24"/>
          <w:szCs w:val="24"/>
        </w:rPr>
      </w:pPr>
      <w:r>
        <w:rPr>
          <w:color w:val="000000"/>
          <w:sz w:val="24"/>
          <w:szCs w:val="24"/>
        </w:rPr>
        <w:t xml:space="preserve">In case material is to be procured from non-qualified vendors, the vendor shall be re-qualified based on proper justification report. </w:t>
      </w:r>
    </w:p>
    <w:p>
      <w:pPr>
        <w:pStyle w:val="18"/>
        <w:numPr>
          <w:ilvl w:val="0"/>
          <w:numId w:val="2"/>
        </w:numPr>
        <w:suppressLineNumbers/>
        <w:suppressAutoHyphens/>
        <w:spacing w:before="240" w:after="240" w:line="360" w:lineRule="auto"/>
        <w:ind w:left="576" w:hanging="576"/>
        <w:jc w:val="both"/>
        <w:rPr>
          <w:b/>
          <w:i/>
          <w:color w:val="000000" w:themeColor="text1"/>
          <w:sz w:val="24"/>
          <w:szCs w:val="24"/>
        </w:rPr>
      </w:pPr>
      <w:r>
        <w:rPr>
          <w:b/>
          <w:color w:val="000000" w:themeColor="text1"/>
          <w:sz w:val="24"/>
          <w:szCs w:val="24"/>
        </w:rPr>
        <w:t>FORMATS/ ANNEXURE(S):</w:t>
      </w:r>
    </w:p>
    <w:p>
      <w:pPr>
        <w:pStyle w:val="18"/>
        <w:numPr>
          <w:ilvl w:val="1"/>
          <w:numId w:val="2"/>
        </w:numPr>
        <w:suppressLineNumbers/>
        <w:suppressAutoHyphens/>
        <w:spacing w:line="360" w:lineRule="auto"/>
        <w:ind w:left="1152" w:hanging="576"/>
        <w:jc w:val="both"/>
        <w:rPr>
          <w:sz w:val="24"/>
          <w:szCs w:val="24"/>
        </w:rPr>
      </w:pPr>
      <w:r>
        <w:rPr>
          <w:sz w:val="24"/>
          <w:szCs w:val="24"/>
        </w:rPr>
        <w:t xml:space="preserve">Approved Vendor list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QA016-FM013</w:t>
      </w:r>
    </w:p>
    <w:p>
      <w:pPr>
        <w:pStyle w:val="18"/>
        <w:numPr>
          <w:ilvl w:val="1"/>
          <w:numId w:val="2"/>
        </w:numPr>
        <w:suppressLineNumbers/>
        <w:suppressAutoHyphens/>
        <w:spacing w:line="360" w:lineRule="auto"/>
        <w:ind w:left="1152" w:hanging="576"/>
        <w:jc w:val="both"/>
        <w:rPr>
          <w:b/>
          <w:color w:val="000000" w:themeColor="text1"/>
          <w:sz w:val="24"/>
          <w:szCs w:val="24"/>
        </w:rPr>
      </w:pPr>
      <w:r>
        <w:rPr>
          <w:sz w:val="24"/>
          <w:szCs w:val="24"/>
        </w:rPr>
        <w:t>Free samples inward register</w:t>
      </w:r>
      <w:r>
        <w:rPr>
          <w:color w:val="000000"/>
          <w:sz w:val="24"/>
          <w:szCs w:val="24"/>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 QA016-FM059</w:t>
      </w:r>
    </w:p>
    <w:p>
      <w:pPr>
        <w:pStyle w:val="18"/>
        <w:numPr>
          <w:ilvl w:val="1"/>
          <w:numId w:val="2"/>
        </w:numPr>
        <w:suppressLineNumbers/>
        <w:suppressAutoHyphens/>
        <w:spacing w:line="360" w:lineRule="auto"/>
        <w:ind w:left="1152" w:hanging="576"/>
        <w:jc w:val="both"/>
        <w:rPr>
          <w:sz w:val="24"/>
          <w:szCs w:val="24"/>
        </w:rPr>
      </w:pPr>
      <w:r>
        <w:rPr>
          <w:sz w:val="24"/>
          <w:szCs w:val="24"/>
        </w:rPr>
        <w:t xml:space="preserve">Vendor  Questionnaire for KSM </w:t>
      </w:r>
      <w:r>
        <w:rPr>
          <w:sz w:val="24"/>
          <w:szCs w:val="24"/>
        </w:rPr>
        <w:tab/>
      </w:r>
      <w:r>
        <w:rPr>
          <w:sz w:val="24"/>
          <w:szCs w:val="24"/>
        </w:rPr>
        <w:tab/>
      </w:r>
      <w:r>
        <w:rPr>
          <w:sz w:val="24"/>
          <w:szCs w:val="24"/>
        </w:rPr>
        <w:tab/>
      </w:r>
      <w:r>
        <w:rPr>
          <w:sz w:val="24"/>
          <w:szCs w:val="24"/>
        </w:rPr>
        <w:tab/>
      </w:r>
      <w:r>
        <w:rPr>
          <w:sz w:val="24"/>
          <w:szCs w:val="24"/>
        </w:rPr>
        <w:tab/>
      </w:r>
      <w:r>
        <w:rPr>
          <w:sz w:val="24"/>
          <w:szCs w:val="24"/>
        </w:rPr>
        <w:t>: QA016-FM060</w:t>
      </w:r>
    </w:p>
    <w:p>
      <w:pPr>
        <w:pStyle w:val="18"/>
        <w:numPr>
          <w:ilvl w:val="1"/>
          <w:numId w:val="2"/>
        </w:numPr>
        <w:suppressLineNumbers/>
        <w:suppressAutoHyphens/>
        <w:spacing w:line="360" w:lineRule="auto"/>
        <w:ind w:left="1152" w:hanging="576"/>
        <w:jc w:val="both"/>
        <w:rPr>
          <w:sz w:val="24"/>
          <w:szCs w:val="24"/>
        </w:rPr>
      </w:pPr>
      <w:r>
        <w:rPr>
          <w:sz w:val="24"/>
          <w:szCs w:val="24"/>
        </w:rPr>
        <w:t xml:space="preserve">Vendor Audit check list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QA016-FM061</w:t>
      </w:r>
    </w:p>
    <w:p>
      <w:pPr>
        <w:pStyle w:val="18"/>
        <w:numPr>
          <w:ilvl w:val="1"/>
          <w:numId w:val="2"/>
        </w:numPr>
        <w:suppressLineNumbers/>
        <w:suppressAutoHyphens/>
        <w:spacing w:line="360" w:lineRule="auto"/>
        <w:ind w:left="1152" w:hanging="576"/>
        <w:jc w:val="both"/>
        <w:rPr>
          <w:sz w:val="24"/>
          <w:szCs w:val="24"/>
        </w:rPr>
      </w:pPr>
      <w:r>
        <w:rPr>
          <w:sz w:val="24"/>
          <w:szCs w:val="24"/>
        </w:rPr>
        <w:t xml:space="preserve">Vendor Evaluation record for the year </w:t>
      </w:r>
      <w:r>
        <w:rPr>
          <w:sz w:val="24"/>
          <w:szCs w:val="24"/>
        </w:rPr>
        <w:tab/>
      </w:r>
      <w:r>
        <w:rPr>
          <w:sz w:val="24"/>
          <w:szCs w:val="24"/>
        </w:rPr>
        <w:tab/>
      </w:r>
      <w:r>
        <w:rPr>
          <w:sz w:val="24"/>
          <w:szCs w:val="24"/>
        </w:rPr>
        <w:tab/>
      </w:r>
      <w:r>
        <w:rPr>
          <w:sz w:val="24"/>
          <w:szCs w:val="24"/>
        </w:rPr>
        <w:tab/>
      </w:r>
      <w:r>
        <w:rPr>
          <w:sz w:val="24"/>
          <w:szCs w:val="24"/>
        </w:rPr>
        <w:t>: QA016-FM062</w:t>
      </w:r>
    </w:p>
    <w:p>
      <w:pPr>
        <w:pStyle w:val="18"/>
        <w:numPr>
          <w:ilvl w:val="1"/>
          <w:numId w:val="2"/>
        </w:numPr>
        <w:suppressLineNumbers/>
        <w:suppressAutoHyphens/>
        <w:spacing w:line="360" w:lineRule="auto"/>
        <w:ind w:left="1152" w:hanging="576"/>
        <w:jc w:val="both"/>
        <w:rPr>
          <w:sz w:val="24"/>
          <w:szCs w:val="24"/>
        </w:rPr>
      </w:pPr>
      <w:r>
        <w:rPr>
          <w:sz w:val="24"/>
          <w:szCs w:val="24"/>
        </w:rPr>
        <w:t xml:space="preserve">New Vendor Evaluation record </w:t>
      </w:r>
      <w:r>
        <w:rPr>
          <w:sz w:val="24"/>
          <w:szCs w:val="24"/>
        </w:rPr>
        <w:tab/>
      </w:r>
      <w:r>
        <w:rPr>
          <w:sz w:val="24"/>
          <w:szCs w:val="24"/>
        </w:rPr>
        <w:tab/>
      </w:r>
      <w:r>
        <w:rPr>
          <w:sz w:val="24"/>
          <w:szCs w:val="24"/>
        </w:rPr>
        <w:tab/>
      </w:r>
      <w:r>
        <w:rPr>
          <w:sz w:val="24"/>
          <w:szCs w:val="24"/>
        </w:rPr>
        <w:tab/>
      </w:r>
      <w:r>
        <w:rPr>
          <w:sz w:val="24"/>
          <w:szCs w:val="24"/>
        </w:rPr>
        <w:tab/>
      </w:r>
      <w:r>
        <w:rPr>
          <w:sz w:val="24"/>
          <w:szCs w:val="24"/>
        </w:rPr>
        <w:t>: QA016-FM063</w:t>
      </w:r>
    </w:p>
    <w:p>
      <w:pPr>
        <w:pStyle w:val="18"/>
        <w:numPr>
          <w:ilvl w:val="1"/>
          <w:numId w:val="2"/>
        </w:numPr>
        <w:suppressLineNumbers/>
        <w:suppressAutoHyphens/>
        <w:spacing w:line="360" w:lineRule="auto"/>
        <w:ind w:left="1152" w:hanging="576"/>
        <w:jc w:val="both"/>
        <w:rPr>
          <w:sz w:val="24"/>
          <w:szCs w:val="24"/>
        </w:rPr>
      </w:pPr>
      <w:r>
        <w:rPr>
          <w:sz w:val="24"/>
          <w:szCs w:val="24"/>
        </w:rPr>
        <w:t>Statement on residual solvents</w:t>
      </w:r>
      <w:r>
        <w:rPr>
          <w:sz w:val="24"/>
          <w:szCs w:val="24"/>
        </w:rPr>
        <w:tab/>
      </w:r>
      <w:r>
        <w:rPr>
          <w:sz w:val="24"/>
          <w:szCs w:val="24"/>
        </w:rPr>
        <w:tab/>
      </w:r>
      <w:r>
        <w:rPr>
          <w:sz w:val="24"/>
          <w:szCs w:val="24"/>
        </w:rPr>
        <w:tab/>
      </w:r>
      <w:r>
        <w:rPr>
          <w:sz w:val="24"/>
          <w:szCs w:val="24"/>
        </w:rPr>
        <w:tab/>
      </w:r>
      <w:r>
        <w:rPr>
          <w:sz w:val="24"/>
          <w:szCs w:val="24"/>
        </w:rPr>
        <w:tab/>
      </w:r>
      <w:r>
        <w:rPr>
          <w:sz w:val="24"/>
          <w:szCs w:val="24"/>
        </w:rPr>
        <w:t>: QA016-FM065</w:t>
      </w:r>
    </w:p>
    <w:p>
      <w:pPr>
        <w:pStyle w:val="18"/>
        <w:numPr>
          <w:ilvl w:val="1"/>
          <w:numId w:val="2"/>
        </w:numPr>
        <w:suppressLineNumbers/>
        <w:suppressAutoHyphens/>
        <w:spacing w:line="360" w:lineRule="auto"/>
        <w:ind w:left="1152" w:hanging="576"/>
        <w:rPr>
          <w:sz w:val="24"/>
          <w:szCs w:val="24"/>
        </w:rPr>
      </w:pPr>
      <w:r>
        <w:rPr>
          <w:sz w:val="24"/>
          <w:szCs w:val="24"/>
        </w:rPr>
        <w:t xml:space="preserve">Supplier Document Checklist for Key starting materials/ </w:t>
      </w:r>
      <w:r>
        <w:rPr>
          <w:sz w:val="24"/>
          <w:szCs w:val="24"/>
        </w:rPr>
        <w:tab/>
      </w:r>
      <w:r>
        <w:rPr>
          <w:sz w:val="24"/>
          <w:szCs w:val="24"/>
        </w:rPr>
        <w:t>: QA016-FM066</w:t>
      </w:r>
      <w:r>
        <w:rPr>
          <w:sz w:val="24"/>
          <w:szCs w:val="24"/>
        </w:rPr>
        <w:br w:type="textWrapping"/>
      </w:r>
      <w:r>
        <w:rPr>
          <w:sz w:val="24"/>
          <w:szCs w:val="24"/>
        </w:rPr>
        <w:t>Critical materials</w:t>
      </w:r>
    </w:p>
    <w:p>
      <w:pPr>
        <w:pStyle w:val="18"/>
        <w:numPr>
          <w:ilvl w:val="1"/>
          <w:numId w:val="2"/>
        </w:numPr>
        <w:suppressLineNumbers/>
        <w:suppressAutoHyphens/>
        <w:spacing w:line="360" w:lineRule="auto"/>
        <w:ind w:left="1152" w:hanging="576"/>
        <w:rPr>
          <w:sz w:val="24"/>
          <w:szCs w:val="24"/>
        </w:rPr>
      </w:pPr>
      <w:r>
        <w:rPr>
          <w:sz w:val="24"/>
          <w:szCs w:val="24"/>
        </w:rPr>
        <w:t>Supplier Document Checklist for other materials</w:t>
      </w:r>
      <w:r>
        <w:rPr>
          <w:sz w:val="24"/>
          <w:szCs w:val="24"/>
        </w:rPr>
        <w:tab/>
      </w:r>
      <w:r>
        <w:rPr>
          <w:sz w:val="24"/>
          <w:szCs w:val="24"/>
        </w:rPr>
        <w:tab/>
      </w:r>
      <w:r>
        <w:rPr>
          <w:sz w:val="24"/>
          <w:szCs w:val="24"/>
        </w:rPr>
        <w:t>: QA016-FM067</w:t>
      </w:r>
    </w:p>
    <w:p>
      <w:pPr>
        <w:pStyle w:val="18"/>
        <w:numPr>
          <w:ilvl w:val="1"/>
          <w:numId w:val="2"/>
        </w:numPr>
        <w:suppressLineNumbers/>
        <w:suppressAutoHyphens/>
        <w:spacing w:line="360" w:lineRule="auto"/>
        <w:ind w:left="1152" w:hanging="576"/>
        <w:rPr>
          <w:sz w:val="24"/>
          <w:szCs w:val="24"/>
        </w:rPr>
      </w:pPr>
      <w:r>
        <w:rPr>
          <w:sz w:val="24"/>
          <w:szCs w:val="24"/>
        </w:rPr>
        <w:t>GMP Statement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QA016-FM068</w:t>
      </w:r>
    </w:p>
    <w:p>
      <w:pPr>
        <w:pStyle w:val="18"/>
        <w:numPr>
          <w:ilvl w:val="1"/>
          <w:numId w:val="2"/>
        </w:numPr>
        <w:suppressLineNumbers/>
        <w:suppressAutoHyphens/>
        <w:spacing w:line="360" w:lineRule="auto"/>
        <w:ind w:left="1152" w:hanging="576"/>
        <w:rPr>
          <w:sz w:val="24"/>
          <w:szCs w:val="24"/>
        </w:rPr>
      </w:pPr>
      <w:r>
        <w:rPr>
          <w:sz w:val="24"/>
          <w:szCs w:val="24"/>
        </w:rPr>
        <w:t>Letter of undertaking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QA016-FM069</w:t>
      </w:r>
    </w:p>
    <w:p>
      <w:pPr>
        <w:pStyle w:val="18"/>
        <w:numPr>
          <w:ilvl w:val="1"/>
          <w:numId w:val="2"/>
        </w:numPr>
        <w:suppressLineNumbers/>
        <w:suppressAutoHyphens/>
        <w:spacing w:line="360" w:lineRule="auto"/>
        <w:ind w:left="1152" w:hanging="576"/>
        <w:jc w:val="both"/>
        <w:rPr>
          <w:sz w:val="24"/>
          <w:szCs w:val="24"/>
        </w:rPr>
      </w:pPr>
      <w:r>
        <w:rPr>
          <w:sz w:val="24"/>
          <w:szCs w:val="24"/>
        </w:rPr>
        <w:t xml:space="preserve">TSE/BSE declaration/ (Template) </w:t>
      </w:r>
      <w:r>
        <w:rPr>
          <w:sz w:val="24"/>
          <w:szCs w:val="24"/>
        </w:rPr>
        <w:tab/>
      </w:r>
      <w:r>
        <w:rPr>
          <w:sz w:val="24"/>
          <w:szCs w:val="24"/>
        </w:rPr>
        <w:tab/>
      </w:r>
      <w:r>
        <w:rPr>
          <w:sz w:val="24"/>
          <w:szCs w:val="24"/>
        </w:rPr>
        <w:tab/>
      </w:r>
      <w:r>
        <w:rPr>
          <w:sz w:val="24"/>
          <w:szCs w:val="24"/>
        </w:rPr>
        <w:tab/>
      </w:r>
      <w:r>
        <w:rPr>
          <w:sz w:val="24"/>
          <w:szCs w:val="24"/>
        </w:rPr>
        <w:t>: QA016-FM070</w:t>
      </w:r>
    </w:p>
    <w:p>
      <w:pPr>
        <w:pStyle w:val="18"/>
        <w:numPr>
          <w:ilvl w:val="1"/>
          <w:numId w:val="2"/>
        </w:numPr>
        <w:suppressLineNumbers/>
        <w:suppressAutoHyphens/>
        <w:spacing w:line="360" w:lineRule="auto"/>
        <w:ind w:left="1152" w:hanging="576"/>
        <w:jc w:val="both"/>
        <w:rPr>
          <w:sz w:val="24"/>
          <w:szCs w:val="24"/>
        </w:rPr>
      </w:pPr>
      <w:r>
        <w:rPr>
          <w:sz w:val="24"/>
          <w:szCs w:val="24"/>
        </w:rPr>
        <w:t xml:space="preserve">Vendor Questionnaire for General raw Materials. </w:t>
      </w:r>
      <w:r>
        <w:rPr>
          <w:sz w:val="24"/>
          <w:szCs w:val="24"/>
        </w:rPr>
        <w:tab/>
      </w:r>
      <w:r>
        <w:rPr>
          <w:sz w:val="24"/>
          <w:szCs w:val="24"/>
        </w:rPr>
        <w:tab/>
      </w:r>
      <w:r>
        <w:rPr>
          <w:sz w:val="24"/>
          <w:szCs w:val="24"/>
        </w:rPr>
        <w:t>: QA016-FM137</w:t>
      </w:r>
    </w:p>
    <w:p>
      <w:pPr>
        <w:pStyle w:val="18"/>
        <w:numPr>
          <w:ilvl w:val="1"/>
          <w:numId w:val="2"/>
        </w:numPr>
        <w:suppressLineNumbers/>
        <w:suppressAutoHyphens/>
        <w:spacing w:line="360" w:lineRule="auto"/>
        <w:ind w:left="1152" w:hanging="576"/>
        <w:jc w:val="both"/>
        <w:rPr>
          <w:sz w:val="24"/>
          <w:szCs w:val="24"/>
        </w:rPr>
      </w:pPr>
      <w:r>
        <w:rPr>
          <w:sz w:val="24"/>
          <w:szCs w:val="24"/>
        </w:rPr>
        <w:t xml:space="preserve">Vendor Questionnaire for packing Materials. </w:t>
      </w:r>
      <w:r>
        <w:rPr>
          <w:sz w:val="24"/>
          <w:szCs w:val="24"/>
        </w:rPr>
        <w:tab/>
      </w:r>
      <w:r>
        <w:rPr>
          <w:sz w:val="24"/>
          <w:szCs w:val="24"/>
        </w:rPr>
        <w:tab/>
      </w:r>
      <w:r>
        <w:rPr>
          <w:sz w:val="24"/>
          <w:szCs w:val="24"/>
        </w:rPr>
        <w:tab/>
      </w:r>
      <w:r>
        <w:rPr>
          <w:sz w:val="24"/>
          <w:szCs w:val="24"/>
        </w:rPr>
        <w:t>: QA016-FM138</w:t>
      </w:r>
    </w:p>
    <w:p>
      <w:pPr>
        <w:pStyle w:val="18"/>
        <w:numPr>
          <w:ilvl w:val="1"/>
          <w:numId w:val="2"/>
        </w:numPr>
        <w:suppressLineNumbers/>
        <w:suppressAutoHyphens/>
        <w:spacing w:line="360" w:lineRule="auto"/>
        <w:ind w:left="1152" w:hanging="576"/>
        <w:jc w:val="both"/>
        <w:rPr>
          <w:sz w:val="24"/>
          <w:szCs w:val="24"/>
        </w:rPr>
      </w:pPr>
      <w:r>
        <w:rPr>
          <w:sz w:val="24"/>
          <w:szCs w:val="24"/>
        </w:rPr>
        <w:t>Block vendor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QA016-FM173</w:t>
      </w:r>
    </w:p>
    <w:p>
      <w:pPr>
        <w:pStyle w:val="18"/>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t>CHANGE HISTORY:</w:t>
      </w:r>
    </w:p>
    <w:tbl>
      <w:tblPr>
        <w:tblStyle w:val="5"/>
        <w:tblW w:w="1008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1890"/>
        <w:gridCol w:w="5096"/>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blHeader/>
          <w:jc w:val="right"/>
        </w:trPr>
        <w:tc>
          <w:tcPr>
            <w:tcW w:w="1175"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Revision No.</w:t>
            </w:r>
          </w:p>
        </w:tc>
        <w:tc>
          <w:tcPr>
            <w:tcW w:w="1890"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Effective Date</w:t>
            </w:r>
          </w:p>
        </w:tc>
        <w:tc>
          <w:tcPr>
            <w:tcW w:w="5096" w:type="dxa"/>
            <w:vAlign w:val="center"/>
          </w:tcPr>
          <w:p>
            <w:pPr>
              <w:rPr>
                <w:rFonts w:ascii="Times New Roman" w:hAnsi="Times New Roman" w:cs="Times New Roman"/>
                <w:b/>
                <w:sz w:val="24"/>
                <w:szCs w:val="24"/>
              </w:rPr>
            </w:pPr>
            <w:r>
              <w:rPr>
                <w:rFonts w:ascii="Times New Roman" w:hAnsi="Times New Roman" w:cs="Times New Roman"/>
                <w:b/>
                <w:sz w:val="24"/>
                <w:szCs w:val="24"/>
              </w:rPr>
              <w:t>Details of Revision</w:t>
            </w:r>
          </w:p>
        </w:tc>
        <w:tc>
          <w:tcPr>
            <w:tcW w:w="1919"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Ref CCF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sz w:val="24"/>
                <w:szCs w:val="24"/>
              </w:rPr>
            </w:pPr>
            <w:r>
              <w:rPr>
                <w:sz w:val="24"/>
                <w:szCs w:val="24"/>
              </w:rPr>
              <w:t>00</w:t>
            </w:r>
          </w:p>
        </w:tc>
        <w:tc>
          <w:tcPr>
            <w:tcW w:w="1890" w:type="dxa"/>
            <w:vAlign w:val="center"/>
          </w:tcPr>
          <w:p>
            <w:pPr>
              <w:jc w:val="center"/>
              <w:rPr>
                <w:rFonts w:ascii="Times New Roman" w:hAnsi="Times New Roman" w:cs="Times New Roman"/>
                <w:sz w:val="24"/>
                <w:szCs w:val="24"/>
              </w:rPr>
            </w:pPr>
            <w:r>
              <w:rPr>
                <w:rFonts w:ascii="Times New Roman" w:hAnsi="Times New Roman" w:cs="Times New Roman"/>
                <w:sz w:val="24"/>
                <w:szCs w:val="24"/>
              </w:rPr>
              <w:t>01.06.2007</w:t>
            </w:r>
          </w:p>
        </w:tc>
        <w:tc>
          <w:tcPr>
            <w:tcW w:w="5096" w:type="dxa"/>
            <w:vAlign w:val="center"/>
          </w:tcPr>
          <w:p>
            <w:pPr>
              <w:pStyle w:val="7"/>
              <w:spacing w:line="360" w:lineRule="auto"/>
              <w:rPr>
                <w:b w:val="0"/>
                <w:bCs/>
                <w:i w:val="0"/>
                <w:iCs/>
                <w:szCs w:val="24"/>
              </w:rPr>
            </w:pPr>
            <w:r>
              <w:rPr>
                <w:b w:val="0"/>
                <w:bCs/>
                <w:i w:val="0"/>
                <w:iCs/>
                <w:szCs w:val="24"/>
              </w:rPr>
              <w:t xml:space="preserve"> New SOP is introduced</w:t>
            </w:r>
          </w:p>
        </w:tc>
        <w:tc>
          <w:tcPr>
            <w:tcW w:w="1919" w:type="dxa"/>
            <w:vAlign w:val="center"/>
          </w:tcPr>
          <w:p>
            <w:pPr>
              <w:pStyle w:val="7"/>
              <w:spacing w:line="360" w:lineRule="auto"/>
              <w:jc w:val="center"/>
              <w:rPr>
                <w:b w:val="0"/>
                <w:bCs/>
                <w:i w:val="0"/>
                <w:iCs/>
                <w:szCs w:val="24"/>
              </w:rPr>
            </w:pPr>
            <w:r>
              <w:rPr>
                <w:b w:val="0"/>
                <w:bCs/>
                <w:i w:val="0"/>
                <w:i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sz w:val="24"/>
                <w:szCs w:val="24"/>
              </w:rPr>
            </w:pPr>
            <w:r>
              <w:rPr>
                <w:sz w:val="24"/>
                <w:szCs w:val="24"/>
              </w:rPr>
              <w:t>01</w:t>
            </w:r>
          </w:p>
        </w:tc>
        <w:tc>
          <w:tcPr>
            <w:tcW w:w="1890" w:type="dxa"/>
            <w:vAlign w:val="center"/>
          </w:tcPr>
          <w:p>
            <w:pPr>
              <w:jc w:val="center"/>
              <w:rPr>
                <w:rFonts w:ascii="Times New Roman" w:hAnsi="Times New Roman" w:cs="Times New Roman"/>
                <w:sz w:val="24"/>
                <w:szCs w:val="24"/>
              </w:rPr>
            </w:pPr>
            <w:r>
              <w:rPr>
                <w:rFonts w:ascii="Times New Roman" w:hAnsi="Times New Roman" w:cs="Times New Roman"/>
                <w:sz w:val="24"/>
                <w:szCs w:val="24"/>
              </w:rPr>
              <w:t>01.07.2009</w:t>
            </w:r>
          </w:p>
        </w:tc>
        <w:tc>
          <w:tcPr>
            <w:tcW w:w="5096" w:type="dxa"/>
            <w:vAlign w:val="center"/>
          </w:tcPr>
          <w:p>
            <w:pPr>
              <w:pStyle w:val="18"/>
              <w:spacing w:line="360" w:lineRule="auto"/>
              <w:ind w:left="76"/>
              <w:rPr>
                <w:bCs/>
                <w:iCs/>
                <w:sz w:val="24"/>
                <w:szCs w:val="24"/>
              </w:rPr>
            </w:pPr>
            <w:r>
              <w:rPr>
                <w:bCs/>
                <w:iCs/>
                <w:sz w:val="24"/>
                <w:szCs w:val="24"/>
              </w:rPr>
              <w:t>SOP format changed and reviewed for more clarity</w:t>
            </w:r>
          </w:p>
        </w:tc>
        <w:tc>
          <w:tcPr>
            <w:tcW w:w="1919" w:type="dxa"/>
            <w:vAlign w:val="center"/>
          </w:tcPr>
          <w:p>
            <w:pPr>
              <w:pStyle w:val="7"/>
              <w:spacing w:line="360" w:lineRule="auto"/>
              <w:jc w:val="center"/>
              <w:rPr>
                <w:b w:val="0"/>
                <w:bCs/>
                <w:i w:val="0"/>
                <w:iCs/>
                <w:szCs w:val="24"/>
              </w:rPr>
            </w:pPr>
            <w:r>
              <w:rPr>
                <w:b w:val="0"/>
                <w:bCs/>
                <w:i w:val="0"/>
                <w:i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sz w:val="24"/>
                <w:szCs w:val="24"/>
              </w:rPr>
            </w:pPr>
            <w:r>
              <w:rPr>
                <w:sz w:val="24"/>
                <w:szCs w:val="24"/>
              </w:rPr>
              <w:t>02</w:t>
            </w:r>
          </w:p>
        </w:tc>
        <w:tc>
          <w:tcPr>
            <w:tcW w:w="1890" w:type="dxa"/>
            <w:vAlign w:val="center"/>
          </w:tcPr>
          <w:p>
            <w:pPr>
              <w:jc w:val="center"/>
              <w:rPr>
                <w:rFonts w:ascii="Times New Roman" w:hAnsi="Times New Roman" w:cs="Times New Roman"/>
                <w:sz w:val="24"/>
                <w:szCs w:val="24"/>
              </w:rPr>
            </w:pPr>
            <w:r>
              <w:rPr>
                <w:rFonts w:ascii="Times New Roman" w:hAnsi="Times New Roman" w:cs="Times New Roman"/>
                <w:sz w:val="24"/>
                <w:szCs w:val="24"/>
              </w:rPr>
              <w:t>01.07.2012</w:t>
            </w:r>
          </w:p>
        </w:tc>
        <w:tc>
          <w:tcPr>
            <w:tcW w:w="5096" w:type="dxa"/>
            <w:vAlign w:val="center"/>
          </w:tcPr>
          <w:p>
            <w:pPr>
              <w:pStyle w:val="18"/>
              <w:spacing w:line="360" w:lineRule="auto"/>
              <w:ind w:left="76"/>
              <w:rPr>
                <w:bCs/>
                <w:iCs/>
                <w:sz w:val="24"/>
                <w:szCs w:val="24"/>
              </w:rPr>
            </w:pPr>
            <w:r>
              <w:rPr>
                <w:bCs/>
                <w:iCs/>
                <w:sz w:val="24"/>
                <w:szCs w:val="24"/>
              </w:rPr>
              <w:t>Separate approved vendor list format has been revised to include the manufacturer address for more clarity</w:t>
            </w:r>
          </w:p>
        </w:tc>
        <w:tc>
          <w:tcPr>
            <w:tcW w:w="1919" w:type="dxa"/>
            <w:vAlign w:val="center"/>
          </w:tcPr>
          <w:p>
            <w:pPr>
              <w:pStyle w:val="7"/>
              <w:spacing w:line="360" w:lineRule="auto"/>
              <w:jc w:val="center"/>
              <w:rPr>
                <w:b w:val="0"/>
                <w:bCs/>
                <w:i w:val="0"/>
                <w:iCs/>
                <w:szCs w:val="24"/>
              </w:rPr>
            </w:pPr>
            <w:r>
              <w:rPr>
                <w:b w:val="0"/>
                <w:bCs/>
                <w:i w:val="0"/>
                <w:i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sz w:val="24"/>
                <w:szCs w:val="24"/>
              </w:rPr>
            </w:pPr>
            <w:r>
              <w:rPr>
                <w:sz w:val="24"/>
                <w:szCs w:val="24"/>
              </w:rPr>
              <w:t>03</w:t>
            </w:r>
          </w:p>
        </w:tc>
        <w:tc>
          <w:tcPr>
            <w:tcW w:w="1890" w:type="dxa"/>
            <w:vAlign w:val="center"/>
          </w:tcPr>
          <w:p>
            <w:pPr>
              <w:jc w:val="center"/>
              <w:rPr>
                <w:rFonts w:ascii="Times New Roman" w:hAnsi="Times New Roman" w:cs="Times New Roman"/>
                <w:sz w:val="24"/>
                <w:szCs w:val="24"/>
              </w:rPr>
            </w:pPr>
            <w:r>
              <w:rPr>
                <w:rFonts w:ascii="Times New Roman" w:hAnsi="Times New Roman" w:cs="Times New Roman"/>
                <w:sz w:val="24"/>
                <w:szCs w:val="24"/>
              </w:rPr>
              <w:t>01.01.2013</w:t>
            </w:r>
          </w:p>
        </w:tc>
        <w:tc>
          <w:tcPr>
            <w:tcW w:w="5096" w:type="dxa"/>
            <w:vAlign w:val="center"/>
          </w:tcPr>
          <w:p>
            <w:pPr>
              <w:pStyle w:val="18"/>
              <w:spacing w:line="360" w:lineRule="auto"/>
              <w:ind w:left="76"/>
              <w:rPr>
                <w:bCs/>
                <w:iCs/>
                <w:sz w:val="24"/>
                <w:szCs w:val="24"/>
              </w:rPr>
            </w:pPr>
            <w:r>
              <w:rPr>
                <w:bCs/>
                <w:iCs/>
                <w:sz w:val="24"/>
                <w:szCs w:val="24"/>
              </w:rPr>
              <w:t>SOP was revised with more clarity</w:t>
            </w:r>
          </w:p>
        </w:tc>
        <w:tc>
          <w:tcPr>
            <w:tcW w:w="1919" w:type="dxa"/>
            <w:vAlign w:val="center"/>
          </w:tcPr>
          <w:p>
            <w:pPr>
              <w:pStyle w:val="7"/>
              <w:spacing w:line="360" w:lineRule="auto"/>
              <w:jc w:val="center"/>
              <w:rPr>
                <w:b w:val="0"/>
                <w:bCs/>
                <w:i w:val="0"/>
                <w:iCs/>
                <w:szCs w:val="24"/>
              </w:rPr>
            </w:pPr>
            <w:r>
              <w:rPr>
                <w:b w:val="0"/>
                <w:bCs/>
                <w:i w:val="0"/>
                <w:i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sz w:val="24"/>
                <w:szCs w:val="24"/>
              </w:rPr>
            </w:pPr>
            <w:r>
              <w:rPr>
                <w:sz w:val="24"/>
                <w:szCs w:val="24"/>
              </w:rPr>
              <w:t>04</w:t>
            </w:r>
          </w:p>
        </w:tc>
        <w:tc>
          <w:tcPr>
            <w:tcW w:w="1890" w:type="dxa"/>
            <w:vAlign w:val="center"/>
          </w:tcPr>
          <w:p>
            <w:pPr>
              <w:jc w:val="center"/>
              <w:rPr>
                <w:rFonts w:ascii="Times New Roman" w:hAnsi="Times New Roman" w:cs="Times New Roman"/>
                <w:sz w:val="24"/>
                <w:szCs w:val="24"/>
              </w:rPr>
            </w:pPr>
            <w:r>
              <w:rPr>
                <w:rFonts w:ascii="Times New Roman" w:hAnsi="Times New Roman" w:cs="Times New Roman"/>
                <w:sz w:val="24"/>
                <w:szCs w:val="24"/>
              </w:rPr>
              <w:t>15.06.2014</w:t>
            </w:r>
          </w:p>
        </w:tc>
        <w:tc>
          <w:tcPr>
            <w:tcW w:w="5096" w:type="dxa"/>
            <w:vAlign w:val="center"/>
          </w:tcPr>
          <w:p>
            <w:pPr>
              <w:pStyle w:val="18"/>
              <w:spacing w:line="360" w:lineRule="auto"/>
              <w:ind w:left="76"/>
              <w:rPr>
                <w:bCs/>
                <w:iCs/>
                <w:sz w:val="24"/>
                <w:szCs w:val="24"/>
              </w:rPr>
            </w:pPr>
            <w:r>
              <w:rPr>
                <w:bCs/>
                <w:iCs/>
                <w:sz w:val="24"/>
                <w:szCs w:val="24"/>
              </w:rPr>
              <w:t>Sub contractor assessment&amp; Transportation Agency/Transporter Removed</w:t>
            </w:r>
          </w:p>
        </w:tc>
        <w:tc>
          <w:tcPr>
            <w:tcW w:w="1919" w:type="dxa"/>
            <w:vAlign w:val="center"/>
          </w:tcPr>
          <w:p>
            <w:pPr>
              <w:pStyle w:val="7"/>
              <w:spacing w:line="360" w:lineRule="auto"/>
              <w:jc w:val="center"/>
              <w:rPr>
                <w:b w:val="0"/>
                <w:bCs/>
                <w:i w:val="0"/>
                <w:iCs/>
                <w:szCs w:val="24"/>
              </w:rPr>
            </w:pPr>
            <w:r>
              <w:rPr>
                <w:b w:val="0"/>
                <w:bCs/>
                <w:i w:val="0"/>
                <w:i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sz w:val="24"/>
                <w:szCs w:val="24"/>
              </w:rPr>
            </w:pPr>
            <w:r>
              <w:rPr>
                <w:sz w:val="24"/>
                <w:szCs w:val="24"/>
              </w:rPr>
              <w:t>05</w:t>
            </w:r>
          </w:p>
        </w:tc>
        <w:tc>
          <w:tcPr>
            <w:tcW w:w="1890" w:type="dxa"/>
            <w:vAlign w:val="center"/>
          </w:tcPr>
          <w:p>
            <w:pPr>
              <w:jc w:val="center"/>
              <w:rPr>
                <w:rFonts w:ascii="Times New Roman" w:hAnsi="Times New Roman" w:cs="Times New Roman"/>
                <w:sz w:val="24"/>
                <w:szCs w:val="24"/>
              </w:rPr>
            </w:pPr>
            <w:r>
              <w:rPr>
                <w:rFonts w:ascii="Times New Roman" w:hAnsi="Times New Roman" w:cs="Times New Roman"/>
                <w:sz w:val="24"/>
                <w:szCs w:val="24"/>
              </w:rPr>
              <w:t>02.11.2015</w:t>
            </w:r>
          </w:p>
        </w:tc>
        <w:tc>
          <w:tcPr>
            <w:tcW w:w="5096" w:type="dxa"/>
            <w:vAlign w:val="center"/>
          </w:tcPr>
          <w:p>
            <w:pPr>
              <w:pStyle w:val="18"/>
              <w:spacing w:line="360" w:lineRule="auto"/>
              <w:ind w:left="76"/>
              <w:rPr>
                <w:bCs/>
                <w:iCs/>
                <w:sz w:val="24"/>
                <w:szCs w:val="24"/>
              </w:rPr>
            </w:pPr>
            <w:r>
              <w:rPr>
                <w:bCs/>
                <w:iCs/>
                <w:sz w:val="24"/>
                <w:szCs w:val="24"/>
              </w:rPr>
              <w:t xml:space="preserve">General raw materials&amp; packing materials procedure included. </w:t>
            </w:r>
          </w:p>
        </w:tc>
        <w:tc>
          <w:tcPr>
            <w:tcW w:w="1919" w:type="dxa"/>
            <w:vAlign w:val="center"/>
          </w:tcPr>
          <w:p>
            <w:pPr>
              <w:pStyle w:val="7"/>
              <w:spacing w:line="360" w:lineRule="auto"/>
              <w:jc w:val="center"/>
              <w:rPr>
                <w:b w:val="0"/>
                <w:bCs/>
                <w:i w:val="0"/>
                <w:iCs/>
                <w:szCs w:val="24"/>
              </w:rPr>
            </w:pPr>
            <w:r>
              <w:rPr>
                <w:b w:val="0"/>
                <w:bCs/>
                <w:i w:val="0"/>
                <w:i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sz w:val="24"/>
                <w:szCs w:val="24"/>
              </w:rPr>
            </w:pPr>
            <w:r>
              <w:rPr>
                <w:sz w:val="24"/>
                <w:szCs w:val="24"/>
              </w:rPr>
              <w:t>06</w:t>
            </w:r>
          </w:p>
        </w:tc>
        <w:tc>
          <w:tcPr>
            <w:tcW w:w="1890" w:type="dxa"/>
            <w:vAlign w:val="center"/>
          </w:tcPr>
          <w:p>
            <w:pPr>
              <w:pStyle w:val="7"/>
              <w:spacing w:line="360" w:lineRule="auto"/>
              <w:jc w:val="center"/>
              <w:rPr>
                <w:b w:val="0"/>
                <w:bCs/>
                <w:i w:val="0"/>
                <w:iCs/>
                <w:szCs w:val="24"/>
              </w:rPr>
            </w:pPr>
            <w:r>
              <w:rPr>
                <w:b w:val="0"/>
                <w:bCs/>
                <w:i w:val="0"/>
                <w:iCs/>
                <w:szCs w:val="24"/>
              </w:rPr>
              <w:t>21.03.2016</w:t>
            </w:r>
          </w:p>
        </w:tc>
        <w:tc>
          <w:tcPr>
            <w:tcW w:w="5096" w:type="dxa"/>
            <w:vAlign w:val="center"/>
          </w:tcPr>
          <w:p>
            <w:pPr>
              <w:pStyle w:val="18"/>
              <w:spacing w:line="360" w:lineRule="auto"/>
              <w:ind w:left="76"/>
              <w:rPr>
                <w:bCs/>
                <w:iCs/>
                <w:sz w:val="24"/>
                <w:szCs w:val="24"/>
              </w:rPr>
            </w:pPr>
            <w:r>
              <w:rPr>
                <w:bCs/>
                <w:iCs/>
                <w:sz w:val="24"/>
                <w:szCs w:val="24"/>
              </w:rPr>
              <w:t>Revised as per current format &amp; More clarity.</w:t>
            </w:r>
          </w:p>
        </w:tc>
        <w:tc>
          <w:tcPr>
            <w:tcW w:w="1919" w:type="dxa"/>
            <w:vAlign w:val="center"/>
          </w:tcPr>
          <w:p>
            <w:pPr>
              <w:pStyle w:val="7"/>
              <w:spacing w:line="360" w:lineRule="auto"/>
              <w:jc w:val="center"/>
              <w:rPr>
                <w:b w:val="0"/>
                <w:bCs/>
                <w:i w:val="0"/>
                <w:iCs/>
                <w:szCs w:val="24"/>
              </w:rPr>
            </w:pPr>
            <w:r>
              <w:rPr>
                <w:b w:val="0"/>
                <w:bCs/>
                <w:i w:val="0"/>
                <w:i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sz w:val="24"/>
                <w:szCs w:val="24"/>
              </w:rPr>
            </w:pPr>
            <w:r>
              <w:rPr>
                <w:sz w:val="24"/>
                <w:szCs w:val="24"/>
              </w:rPr>
              <w:t>07</w:t>
            </w:r>
          </w:p>
        </w:tc>
        <w:tc>
          <w:tcPr>
            <w:tcW w:w="1890" w:type="dxa"/>
            <w:vAlign w:val="center"/>
          </w:tcPr>
          <w:p>
            <w:pPr>
              <w:pStyle w:val="7"/>
              <w:spacing w:line="360" w:lineRule="auto"/>
              <w:jc w:val="center"/>
              <w:rPr>
                <w:b w:val="0"/>
                <w:bCs/>
                <w:i w:val="0"/>
                <w:iCs/>
                <w:szCs w:val="24"/>
              </w:rPr>
            </w:pPr>
            <w:r>
              <w:rPr>
                <w:b w:val="0"/>
                <w:bCs/>
                <w:i w:val="0"/>
                <w:iCs/>
                <w:szCs w:val="24"/>
              </w:rPr>
              <w:t>01.03.2018</w:t>
            </w:r>
          </w:p>
        </w:tc>
        <w:tc>
          <w:tcPr>
            <w:tcW w:w="5096" w:type="dxa"/>
            <w:vAlign w:val="center"/>
          </w:tcPr>
          <w:p>
            <w:pPr>
              <w:pStyle w:val="7"/>
              <w:numPr>
                <w:ilvl w:val="0"/>
                <w:numId w:val="3"/>
              </w:numPr>
              <w:spacing w:line="360" w:lineRule="auto"/>
              <w:ind w:left="452"/>
              <w:rPr>
                <w:b w:val="0"/>
                <w:bCs/>
                <w:i w:val="0"/>
                <w:iCs/>
                <w:szCs w:val="24"/>
              </w:rPr>
            </w:pPr>
            <w:r>
              <w:rPr>
                <w:b w:val="0"/>
                <w:bCs/>
                <w:i w:val="0"/>
                <w:iCs/>
                <w:szCs w:val="24"/>
              </w:rPr>
              <w:t xml:space="preserve">SOP format changed make to inline with </w:t>
            </w:r>
            <w:r>
              <w:rPr>
                <w:b w:val="0"/>
                <w:bCs/>
                <w:i w:val="0"/>
                <w:iCs/>
                <w:szCs w:val="24"/>
              </w:rPr>
              <w:br w:type="textWrapping"/>
            </w:r>
            <w:r>
              <w:rPr>
                <w:b w:val="0"/>
                <w:bCs/>
                <w:i w:val="0"/>
                <w:iCs/>
                <w:szCs w:val="24"/>
              </w:rPr>
              <w:t>SOP-QA-001-05.</w:t>
            </w:r>
          </w:p>
          <w:p>
            <w:pPr>
              <w:pStyle w:val="7"/>
              <w:numPr>
                <w:ilvl w:val="0"/>
                <w:numId w:val="3"/>
              </w:numPr>
              <w:spacing w:line="360" w:lineRule="auto"/>
              <w:ind w:left="452"/>
              <w:rPr>
                <w:b w:val="0"/>
                <w:bCs/>
                <w:i w:val="0"/>
                <w:iCs/>
                <w:szCs w:val="24"/>
              </w:rPr>
            </w:pPr>
            <w:r>
              <w:rPr>
                <w:b w:val="0"/>
                <w:bCs/>
                <w:i w:val="0"/>
                <w:iCs/>
                <w:szCs w:val="24"/>
              </w:rPr>
              <w:t>De-listing procedure is incorporated</w:t>
            </w:r>
          </w:p>
          <w:p>
            <w:pPr>
              <w:pStyle w:val="7"/>
              <w:numPr>
                <w:ilvl w:val="0"/>
                <w:numId w:val="3"/>
              </w:numPr>
              <w:spacing w:line="360" w:lineRule="auto"/>
              <w:ind w:left="452"/>
              <w:rPr>
                <w:b w:val="0"/>
                <w:bCs/>
                <w:i w:val="0"/>
                <w:iCs/>
                <w:szCs w:val="24"/>
              </w:rPr>
            </w:pPr>
            <w:r>
              <w:rPr>
                <w:b w:val="0"/>
                <w:bCs/>
                <w:i w:val="0"/>
                <w:iCs/>
                <w:szCs w:val="24"/>
              </w:rPr>
              <w:t>Block vendor list format incorporated</w:t>
            </w:r>
          </w:p>
          <w:p>
            <w:pPr>
              <w:pStyle w:val="7"/>
              <w:numPr>
                <w:ilvl w:val="0"/>
                <w:numId w:val="3"/>
              </w:numPr>
              <w:spacing w:line="360" w:lineRule="auto"/>
              <w:ind w:left="452"/>
              <w:rPr>
                <w:b w:val="0"/>
                <w:bCs/>
                <w:i w:val="0"/>
                <w:iCs/>
                <w:szCs w:val="24"/>
              </w:rPr>
            </w:pPr>
            <w:r>
              <w:rPr>
                <w:b w:val="0"/>
                <w:bCs/>
                <w:i w:val="0"/>
                <w:iCs/>
                <w:szCs w:val="24"/>
              </w:rPr>
              <w:t>All together procedure has been rephrased for better clarity.</w:t>
            </w:r>
          </w:p>
        </w:tc>
        <w:tc>
          <w:tcPr>
            <w:tcW w:w="1919" w:type="dxa"/>
            <w:vAlign w:val="center"/>
          </w:tcPr>
          <w:p>
            <w:pPr>
              <w:pStyle w:val="7"/>
              <w:spacing w:line="360" w:lineRule="auto"/>
              <w:jc w:val="center"/>
              <w:rPr>
                <w:b w:val="0"/>
                <w:bCs/>
                <w:i w:val="0"/>
                <w:iCs/>
                <w:szCs w:val="24"/>
              </w:rPr>
            </w:pPr>
            <w:r>
              <w:rPr>
                <w:b w:val="0"/>
                <w:bCs/>
                <w:i w:val="0"/>
                <w:iCs/>
                <w:szCs w:val="24"/>
              </w:rPr>
              <w:t>CCF/GEN/18006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right"/>
        </w:trPr>
        <w:tc>
          <w:tcPr>
            <w:tcW w:w="1175" w:type="dxa"/>
            <w:vAlign w:val="center"/>
          </w:tcPr>
          <w:p>
            <w:pPr>
              <w:pStyle w:val="10"/>
              <w:spacing w:line="360" w:lineRule="auto"/>
              <w:jc w:val="center"/>
              <w:rPr>
                <w:rFonts w:hint="default"/>
                <w:sz w:val="24"/>
                <w:szCs w:val="24"/>
                <w:lang w:val="en-US"/>
              </w:rPr>
            </w:pPr>
            <w:r>
              <w:rPr>
                <w:rFonts w:hint="default"/>
                <w:sz w:val="24"/>
                <w:szCs w:val="24"/>
                <w:lang w:val="en-US"/>
              </w:rPr>
              <w:t>08</w:t>
            </w:r>
          </w:p>
        </w:tc>
        <w:tc>
          <w:tcPr>
            <w:tcW w:w="1890" w:type="dxa"/>
            <w:vAlign w:val="center"/>
          </w:tcPr>
          <w:p>
            <w:pPr>
              <w:pStyle w:val="7"/>
              <w:spacing w:line="360" w:lineRule="auto"/>
              <w:jc w:val="center"/>
              <w:rPr>
                <w:b w:val="0"/>
                <w:bCs/>
                <w:i w:val="0"/>
                <w:iCs/>
                <w:szCs w:val="24"/>
              </w:rPr>
            </w:pPr>
          </w:p>
        </w:tc>
        <w:tc>
          <w:tcPr>
            <w:tcW w:w="5096" w:type="dxa"/>
            <w:shd w:val="clear" w:color="auto" w:fill="auto"/>
            <w:vAlign w:val="center"/>
          </w:tcPr>
          <w:p>
            <w:pPr>
              <w:pStyle w:val="7"/>
              <w:numPr>
                <w:ilvl w:val="0"/>
                <w:numId w:val="0"/>
              </w:numPr>
              <w:spacing w:line="360" w:lineRule="auto"/>
              <w:rPr>
                <w:rFonts w:hint="default" w:ascii="Times New Roman" w:hAnsi="Times New Roman" w:cs="Times New Roman"/>
                <w:b w:val="0"/>
                <w:bCs/>
                <w:i w:val="0"/>
                <w:iCs/>
                <w:szCs w:val="24"/>
                <w:highlight w:val="none"/>
                <w:lang w:val="en-US"/>
              </w:rPr>
            </w:pPr>
            <w:r>
              <w:rPr>
                <w:rFonts w:hint="default"/>
                <w:b w:val="0"/>
                <w:bCs/>
                <w:i w:val="0"/>
                <w:iCs/>
                <w:szCs w:val="24"/>
                <w:highlight w:val="none"/>
                <w:lang w:val="en-US"/>
              </w:rPr>
              <w:t xml:space="preserve">Primary packing materials re qualification audit shall be performed once in  3years </w:t>
            </w:r>
            <w:r>
              <w:rPr>
                <w:rFonts w:hint="default"/>
                <w:b w:val="0"/>
                <w:bCs/>
                <w:i w:val="0"/>
                <w:iCs/>
                <w:color w:val="000000"/>
                <w:sz w:val="24"/>
                <w:szCs w:val="24"/>
                <w:highlight w:val="none"/>
                <w:shd w:val="clear" w:color="auto" w:fill="auto"/>
                <w:lang w:val="en-US"/>
              </w:rPr>
              <w:t>±3months.</w:t>
            </w:r>
            <w:r>
              <w:rPr>
                <w:rFonts w:hint="default"/>
                <w:color w:val="000000"/>
                <w:sz w:val="24"/>
                <w:szCs w:val="24"/>
                <w:highlight w:val="none"/>
                <w:shd w:val="clear" w:color="auto" w:fill="auto"/>
                <w:lang w:val="en-US"/>
              </w:rPr>
              <w:t xml:space="preserve"> </w:t>
            </w:r>
          </w:p>
        </w:tc>
        <w:tc>
          <w:tcPr>
            <w:tcW w:w="1919" w:type="dxa"/>
            <w:vAlign w:val="center"/>
          </w:tcPr>
          <w:p>
            <w:pPr>
              <w:pStyle w:val="7"/>
              <w:spacing w:line="360" w:lineRule="auto"/>
              <w:jc w:val="center"/>
              <w:rPr>
                <w:rFonts w:hint="default"/>
                <w:b w:val="0"/>
                <w:bCs/>
                <w:i w:val="0"/>
                <w:iCs/>
                <w:szCs w:val="24"/>
                <w:lang w:val="en-US"/>
              </w:rPr>
            </w:pPr>
            <w:r>
              <w:rPr>
                <w:rFonts w:hint="default"/>
                <w:b w:val="0"/>
                <w:bCs/>
                <w:i w:val="0"/>
                <w:iCs/>
                <w:szCs w:val="24"/>
                <w:lang w:val="en-US"/>
              </w:rPr>
              <w:t>CCF/GEN/22003</w:t>
            </w:r>
          </w:p>
        </w:tc>
      </w:tr>
    </w:tbl>
    <w:p>
      <w:pPr>
        <w:suppressLineNumbers/>
        <w:suppressAutoHyphens/>
        <w:rPr>
          <w:rFonts w:ascii="Times New Roman" w:hAnsi="Times New Roman" w:cs="Times New Roman"/>
          <w:sz w:val="24"/>
          <w:szCs w:val="24"/>
        </w:rPr>
      </w:pPr>
      <w:r>
        <w:rPr>
          <w:rFonts w:ascii="Times New Roman" w:hAnsi="Times New Roman" w:cs="Times New Roman"/>
          <w:sz w:val="24"/>
          <w:szCs w:val="24"/>
        </w:rPr>
        <w:t xml:space="preserve"> </w:t>
      </w:r>
    </w:p>
    <w:sectPr>
      <w:headerReference r:id="rId6" w:type="first"/>
      <w:headerReference r:id="rId5" w:type="default"/>
      <w:footerReference r:id="rId7" w:type="default"/>
      <w:pgSz w:w="11907" w:h="16839"/>
      <w:pgMar w:top="893" w:right="1008" w:bottom="720" w:left="1008" w:header="1134" w:footer="431"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970"/>
      <w:gridCol w:w="297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8" w:type="dxa"/>
        </w:tcPr>
        <w:p>
          <w:pPr>
            <w:pStyle w:val="12"/>
            <w:rPr>
              <w:rFonts w:ascii="Times New Roman" w:hAnsi="Times New Roman" w:cs="Times New Roman"/>
              <w:sz w:val="24"/>
              <w:szCs w:val="24"/>
            </w:rPr>
          </w:pPr>
        </w:p>
      </w:tc>
      <w:tc>
        <w:tcPr>
          <w:tcW w:w="2970" w:type="dxa"/>
        </w:tcPr>
        <w:p>
          <w:pPr>
            <w:pStyle w:val="12"/>
            <w:jc w:val="center"/>
            <w:rPr>
              <w:rFonts w:ascii="Times New Roman" w:hAnsi="Times New Roman" w:cs="Times New Roman"/>
              <w:b/>
              <w:sz w:val="24"/>
              <w:szCs w:val="24"/>
            </w:rPr>
          </w:pPr>
          <w:r>
            <w:rPr>
              <w:rFonts w:ascii="Times New Roman" w:hAnsi="Times New Roman" w:cs="Times New Roman"/>
              <w:b/>
              <w:sz w:val="24"/>
              <w:szCs w:val="24"/>
            </w:rPr>
            <w:t>Prepared by</w:t>
          </w:r>
        </w:p>
      </w:tc>
      <w:tc>
        <w:tcPr>
          <w:tcW w:w="2970" w:type="dxa"/>
        </w:tcPr>
        <w:p>
          <w:pPr>
            <w:pStyle w:val="12"/>
            <w:jc w:val="center"/>
            <w:rPr>
              <w:rFonts w:ascii="Times New Roman" w:hAnsi="Times New Roman" w:cs="Times New Roman"/>
              <w:b/>
              <w:sz w:val="24"/>
              <w:szCs w:val="24"/>
            </w:rPr>
          </w:pPr>
          <w:r>
            <w:rPr>
              <w:rFonts w:ascii="Times New Roman" w:hAnsi="Times New Roman" w:cs="Times New Roman"/>
              <w:b/>
              <w:sz w:val="24"/>
              <w:szCs w:val="24"/>
            </w:rPr>
            <w:t>Reviewed by</w:t>
          </w:r>
        </w:p>
      </w:tc>
      <w:tc>
        <w:tcPr>
          <w:tcW w:w="2619" w:type="dxa"/>
        </w:tcPr>
        <w:p>
          <w:pPr>
            <w:pStyle w:val="12"/>
            <w:jc w:val="center"/>
            <w:rPr>
              <w:rFonts w:ascii="Times New Roman" w:hAnsi="Times New Roman" w:cs="Times New Roman"/>
              <w:b/>
              <w:sz w:val="24"/>
              <w:szCs w:val="24"/>
            </w:rPr>
          </w:pPr>
          <w:r>
            <w:rPr>
              <w:rFonts w:ascii="Times New Roman" w:hAnsi="Times New Roman" w:cs="Times New Roman"/>
              <w:b/>
              <w:sz w:val="24"/>
              <w:szCs w:val="24"/>
            </w:rP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548" w:type="dxa"/>
          <w:vAlign w:val="center"/>
        </w:tcPr>
        <w:p>
          <w:pPr>
            <w:pStyle w:val="12"/>
            <w:jc w:val="center"/>
            <w:rPr>
              <w:rFonts w:ascii="Times New Roman" w:hAnsi="Times New Roman" w:cs="Times New Roman"/>
              <w:sz w:val="24"/>
              <w:szCs w:val="24"/>
            </w:rPr>
          </w:pPr>
          <w:r>
            <w:rPr>
              <w:rFonts w:ascii="Times New Roman" w:hAnsi="Times New Roman" w:cs="Times New Roman"/>
              <w:sz w:val="24"/>
              <w:szCs w:val="24"/>
            </w:rPr>
            <w:t>Sign &amp; Date</w:t>
          </w:r>
        </w:p>
      </w:tc>
      <w:tc>
        <w:tcPr>
          <w:tcW w:w="2970" w:type="dxa"/>
        </w:tcPr>
        <w:p>
          <w:pPr>
            <w:pStyle w:val="12"/>
            <w:rPr>
              <w:rFonts w:ascii="Times New Roman" w:hAnsi="Times New Roman" w:cs="Times New Roman"/>
              <w:sz w:val="24"/>
              <w:szCs w:val="24"/>
            </w:rPr>
          </w:pPr>
        </w:p>
      </w:tc>
      <w:tc>
        <w:tcPr>
          <w:tcW w:w="2970" w:type="dxa"/>
        </w:tcPr>
        <w:p>
          <w:pPr>
            <w:pStyle w:val="12"/>
            <w:rPr>
              <w:rFonts w:ascii="Times New Roman" w:hAnsi="Times New Roman" w:cs="Times New Roman"/>
              <w:sz w:val="24"/>
              <w:szCs w:val="24"/>
            </w:rPr>
          </w:pPr>
        </w:p>
      </w:tc>
      <w:tc>
        <w:tcPr>
          <w:tcW w:w="2619" w:type="dxa"/>
        </w:tcPr>
        <w:p>
          <w:pPr>
            <w:pStyle w:val="12"/>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548" w:type="dxa"/>
          <w:vAlign w:val="center"/>
        </w:tcPr>
        <w:p>
          <w:pPr>
            <w:pStyle w:val="12"/>
            <w:jc w:val="center"/>
            <w:rPr>
              <w:rFonts w:ascii="Times New Roman" w:hAnsi="Times New Roman" w:cs="Times New Roman"/>
              <w:sz w:val="24"/>
              <w:szCs w:val="24"/>
            </w:rPr>
          </w:pPr>
          <w:r>
            <w:rPr>
              <w:rFonts w:ascii="Times New Roman" w:hAnsi="Times New Roman" w:cs="Times New Roman"/>
              <w:sz w:val="24"/>
              <w:szCs w:val="24"/>
            </w:rPr>
            <w:t>Name</w:t>
          </w:r>
        </w:p>
      </w:tc>
      <w:tc>
        <w:tcPr>
          <w:tcW w:w="2970" w:type="dxa"/>
          <w:vAlign w:val="center"/>
        </w:tcPr>
        <w:p>
          <w:pPr>
            <w:pStyle w:val="12"/>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R.Pallavi</w:t>
          </w:r>
        </w:p>
      </w:tc>
      <w:tc>
        <w:tcPr>
          <w:tcW w:w="2970" w:type="dxa"/>
          <w:vAlign w:val="center"/>
        </w:tcPr>
        <w:p>
          <w:pPr>
            <w:pStyle w:val="12"/>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T.Ramya</w:t>
          </w:r>
        </w:p>
      </w:tc>
      <w:tc>
        <w:tcPr>
          <w:tcW w:w="2619" w:type="dxa"/>
          <w:vAlign w:val="center"/>
        </w:tcPr>
        <w:p>
          <w:pPr>
            <w:pStyle w:val="12"/>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K.V.Nagendra Kumar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548" w:type="dxa"/>
          <w:vAlign w:val="center"/>
        </w:tcPr>
        <w:p>
          <w:pPr>
            <w:pStyle w:val="12"/>
            <w:jc w:val="center"/>
            <w:rPr>
              <w:rFonts w:ascii="Times New Roman" w:hAnsi="Times New Roman" w:cs="Times New Roman"/>
              <w:sz w:val="24"/>
              <w:szCs w:val="24"/>
            </w:rPr>
          </w:pPr>
          <w:r>
            <w:rPr>
              <w:rFonts w:ascii="Times New Roman" w:hAnsi="Times New Roman" w:cs="Times New Roman"/>
              <w:sz w:val="24"/>
              <w:szCs w:val="24"/>
            </w:rPr>
            <w:t>Department</w:t>
          </w:r>
        </w:p>
      </w:tc>
      <w:tc>
        <w:tcPr>
          <w:tcW w:w="2970" w:type="dxa"/>
          <w:vAlign w:val="center"/>
        </w:tcPr>
        <w:p>
          <w:pPr>
            <w:pStyle w:val="12"/>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970" w:type="dxa"/>
          <w:vAlign w:val="center"/>
        </w:tcPr>
        <w:p>
          <w:pPr>
            <w:pStyle w:val="12"/>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619" w:type="dxa"/>
          <w:vAlign w:val="center"/>
        </w:tcPr>
        <w:p>
          <w:pPr>
            <w:pStyle w:val="12"/>
            <w:jc w:val="center"/>
            <w:rPr>
              <w:rFonts w:ascii="Times New Roman" w:hAnsi="Times New Roman" w:cs="Times New Roman"/>
              <w:sz w:val="24"/>
              <w:szCs w:val="24"/>
            </w:rPr>
          </w:pPr>
          <w:r>
            <w:rPr>
              <w:rFonts w:ascii="Times New Roman" w:hAnsi="Times New Roman" w:cs="Times New Roman"/>
              <w:sz w:val="24"/>
              <w:szCs w:val="24"/>
            </w:rPr>
            <w:t>Quality Assurance</w:t>
          </w:r>
        </w:p>
      </w:tc>
    </w:tr>
  </w:tbl>
  <w:p>
    <w:pPr>
      <w:pStyle w:val="12"/>
      <w:rPr>
        <w:rFonts w:ascii="Times New Roman" w:hAnsi="Times New Roman" w:cs="Times New Roman"/>
        <w:sz w:val="24"/>
        <w:szCs w:val="24"/>
      </w:rPr>
    </w:pPr>
    <w:r>
      <w:rPr>
        <w:rFonts w:ascii="Times New Roman" w:hAnsi="Times New Roman" w:cs="Times New Roman"/>
        <w:sz w:val="24"/>
        <w:szCs w:val="24"/>
      </w:rPr>
      <w:t>QA001-FM139-01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3"/>
      <w:gridCol w:w="1560"/>
      <w:gridCol w:w="2382"/>
      <w:gridCol w:w="2070"/>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2363" w:type="dxa"/>
          <w:vMerge w:val="restart"/>
          <w:vAlign w:val="center"/>
        </w:tcPr>
        <w:p>
          <w:r>
            <w:rPr>
              <w:lang w:val="en-IN" w:eastAsia="en-IN"/>
            </w:rPr>
            <w:drawing>
              <wp:anchor distT="0" distB="0" distL="114300" distR="114300" simplePos="0" relativeHeight="251659264" behindDoc="0" locked="0" layoutInCell="1" allowOverlap="1">
                <wp:simplePos x="0" y="0"/>
                <wp:positionH relativeFrom="margin">
                  <wp:posOffset>96520</wp:posOffset>
                </wp:positionH>
                <wp:positionV relativeFrom="margin">
                  <wp:posOffset>228600</wp:posOffset>
                </wp:positionV>
                <wp:extent cx="1209675" cy="642620"/>
                <wp:effectExtent l="19050" t="0" r="95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rcRect/>
                        <a:stretch>
                          <a:fillRect/>
                        </a:stretch>
                      </pic:blipFill>
                      <pic:spPr>
                        <a:xfrm>
                          <a:off x="0" y="0"/>
                          <a:ext cx="1209675" cy="642620"/>
                        </a:xfrm>
                        <a:prstGeom prst="rect">
                          <a:avLst/>
                        </a:prstGeom>
                        <a:noFill/>
                        <a:ln w="9525">
                          <a:noFill/>
                          <a:miter lim="800000"/>
                          <a:headEnd/>
                          <a:tailEnd/>
                        </a:ln>
                      </pic:spPr>
                    </pic:pic>
                  </a:graphicData>
                </a:graphic>
              </wp:anchor>
            </w:drawing>
          </w:r>
        </w:p>
      </w:tc>
      <w:tc>
        <w:tcPr>
          <w:tcW w:w="7717" w:type="dxa"/>
          <w:gridSpan w:val="4"/>
          <w:vAlign w:val="center"/>
        </w:tcPr>
        <w:p>
          <w:pPr>
            <w:pStyle w:val="13"/>
            <w:jc w:val="center"/>
            <w:rPr>
              <w:rFonts w:ascii="Times New Roman" w:hAnsi="Times New Roman" w:cs="Times New Roman"/>
              <w:sz w:val="24"/>
              <w:szCs w:val="24"/>
            </w:rPr>
          </w:pPr>
          <w:r>
            <w:rPr>
              <w:rFonts w:ascii="Times New Roman" w:hAnsi="Times New Roman" w:cs="Times New Roman"/>
              <w:b/>
              <w:sz w:val="24"/>
              <w:szCs w:val="24"/>
            </w:rPr>
            <w:t>STANDARD OPERATING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363" w:type="dxa"/>
          <w:vMerge w:val="continue"/>
        </w:tcPr>
        <w:p>
          <w:pPr>
            <w:pStyle w:val="13"/>
            <w:jc w:val="center"/>
            <w:rPr>
              <w:b/>
              <w:sz w:val="28"/>
            </w:rPr>
          </w:pPr>
        </w:p>
      </w:tc>
      <w:tc>
        <w:tcPr>
          <w:tcW w:w="1560" w:type="dxa"/>
          <w:vAlign w:val="center"/>
        </w:tcPr>
        <w:p>
          <w:pPr>
            <w:pStyle w:val="13"/>
            <w:rPr>
              <w:rFonts w:ascii="Times New Roman" w:hAnsi="Times New Roman" w:cs="Times New Roman"/>
              <w:sz w:val="24"/>
              <w:szCs w:val="24"/>
            </w:rPr>
          </w:pPr>
          <w:r>
            <w:rPr>
              <w:rFonts w:ascii="Times New Roman" w:hAnsi="Times New Roman" w:cs="Times New Roman"/>
              <w:sz w:val="24"/>
              <w:szCs w:val="24"/>
            </w:rPr>
            <w:t>SOP No.:</w:t>
          </w:r>
        </w:p>
      </w:tc>
      <w:tc>
        <w:tcPr>
          <w:tcW w:w="2382" w:type="dxa"/>
          <w:vAlign w:val="center"/>
        </w:tcPr>
        <w:p>
          <w:pPr>
            <w:pStyle w:val="13"/>
            <w:rPr>
              <w:rFonts w:hint="default" w:ascii="Times New Roman" w:hAnsi="Times New Roman" w:cs="Times New Roman"/>
              <w:sz w:val="24"/>
              <w:szCs w:val="24"/>
              <w:lang w:val="en-US"/>
            </w:rPr>
          </w:pPr>
          <w:r>
            <w:rPr>
              <w:rFonts w:ascii="Times New Roman" w:hAnsi="Times New Roman" w:cs="Times New Roman"/>
              <w:sz w:val="24"/>
              <w:szCs w:val="24"/>
            </w:rPr>
            <w:t>SOP-QA-016-0</w:t>
          </w:r>
          <w:r>
            <w:rPr>
              <w:rFonts w:hint="default" w:ascii="Times New Roman" w:hAnsi="Times New Roman" w:cs="Times New Roman"/>
              <w:sz w:val="24"/>
              <w:szCs w:val="24"/>
              <w:lang w:val="en-US"/>
            </w:rPr>
            <w:t>9</w:t>
          </w:r>
        </w:p>
      </w:tc>
      <w:tc>
        <w:tcPr>
          <w:tcW w:w="2070" w:type="dxa"/>
          <w:vAlign w:val="center"/>
        </w:tcPr>
        <w:p>
          <w:pPr>
            <w:pStyle w:val="13"/>
            <w:rPr>
              <w:rFonts w:ascii="Times New Roman" w:hAnsi="Times New Roman" w:cs="Times New Roman"/>
              <w:sz w:val="24"/>
              <w:szCs w:val="24"/>
            </w:rPr>
          </w:pPr>
          <w:r>
            <w:rPr>
              <w:rFonts w:ascii="Times New Roman" w:hAnsi="Times New Roman" w:cs="Times New Roman"/>
              <w:sz w:val="24"/>
              <w:szCs w:val="24"/>
            </w:rPr>
            <w:t>Effective Date:</w:t>
          </w:r>
        </w:p>
      </w:tc>
      <w:tc>
        <w:tcPr>
          <w:tcW w:w="1705" w:type="dxa"/>
          <w:vAlign w:val="center"/>
        </w:tcPr>
        <w:p>
          <w:pPr>
            <w:pStyle w:val="13"/>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363" w:type="dxa"/>
          <w:vMerge w:val="continue"/>
        </w:tcPr>
        <w:p>
          <w:pPr>
            <w:pStyle w:val="13"/>
            <w:jc w:val="center"/>
            <w:rPr>
              <w:b/>
              <w:sz w:val="28"/>
            </w:rPr>
          </w:pPr>
        </w:p>
      </w:tc>
      <w:tc>
        <w:tcPr>
          <w:tcW w:w="1560" w:type="dxa"/>
          <w:vAlign w:val="center"/>
        </w:tcPr>
        <w:p>
          <w:pPr>
            <w:pStyle w:val="13"/>
            <w:rPr>
              <w:rFonts w:ascii="Times New Roman" w:hAnsi="Times New Roman" w:cs="Times New Roman"/>
              <w:sz w:val="24"/>
              <w:szCs w:val="24"/>
            </w:rPr>
          </w:pPr>
          <w:r>
            <w:rPr>
              <w:rFonts w:ascii="Times New Roman" w:hAnsi="Times New Roman" w:cs="Times New Roman"/>
              <w:sz w:val="24"/>
              <w:szCs w:val="24"/>
            </w:rPr>
            <w:t>Supersedes:</w:t>
          </w:r>
        </w:p>
      </w:tc>
      <w:tc>
        <w:tcPr>
          <w:tcW w:w="2382" w:type="dxa"/>
          <w:vAlign w:val="center"/>
        </w:tcPr>
        <w:p>
          <w:pPr>
            <w:pStyle w:val="13"/>
            <w:rPr>
              <w:rFonts w:hint="default" w:ascii="Times New Roman" w:hAnsi="Times New Roman" w:cs="Times New Roman"/>
              <w:sz w:val="24"/>
              <w:szCs w:val="24"/>
              <w:lang w:val="en-US"/>
            </w:rPr>
          </w:pPr>
          <w:r>
            <w:rPr>
              <w:rFonts w:hint="default" w:ascii="Times New Roman" w:hAnsi="Times New Roman" w:cs="Times New Roman"/>
              <w:sz w:val="24"/>
              <w:szCs w:val="24"/>
              <w:lang w:val="en-US"/>
            </w:rPr>
            <w:t>SOP-QA-016-08</w:t>
          </w:r>
          <w:bookmarkStart w:id="0" w:name="_GoBack"/>
          <w:bookmarkEnd w:id="0"/>
        </w:p>
      </w:tc>
      <w:tc>
        <w:tcPr>
          <w:tcW w:w="2070" w:type="dxa"/>
          <w:vAlign w:val="center"/>
        </w:tcPr>
        <w:p>
          <w:pPr>
            <w:pStyle w:val="13"/>
            <w:rPr>
              <w:rFonts w:ascii="Times New Roman" w:hAnsi="Times New Roman" w:cs="Times New Roman"/>
              <w:sz w:val="24"/>
              <w:szCs w:val="24"/>
            </w:rPr>
          </w:pPr>
          <w:r>
            <w:rPr>
              <w:rFonts w:ascii="Times New Roman" w:hAnsi="Times New Roman" w:cs="Times New Roman"/>
              <w:sz w:val="24"/>
              <w:szCs w:val="24"/>
            </w:rPr>
            <w:t>Next Review Date:</w:t>
          </w:r>
        </w:p>
      </w:tc>
      <w:tc>
        <w:tcPr>
          <w:tcW w:w="1705" w:type="dxa"/>
          <w:vAlign w:val="center"/>
        </w:tcPr>
        <w:p>
          <w:pPr>
            <w:pStyle w:val="13"/>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363" w:type="dxa"/>
          <w:vMerge w:val="continue"/>
        </w:tcPr>
        <w:p>
          <w:pPr>
            <w:pStyle w:val="13"/>
            <w:jc w:val="center"/>
            <w:rPr>
              <w:b/>
              <w:sz w:val="28"/>
            </w:rPr>
          </w:pPr>
        </w:p>
      </w:tc>
      <w:tc>
        <w:tcPr>
          <w:tcW w:w="1560" w:type="dxa"/>
          <w:vAlign w:val="center"/>
        </w:tcPr>
        <w:p>
          <w:pPr>
            <w:pStyle w:val="13"/>
            <w:rPr>
              <w:rFonts w:ascii="Times New Roman" w:hAnsi="Times New Roman" w:cs="Times New Roman"/>
              <w:sz w:val="24"/>
              <w:szCs w:val="24"/>
            </w:rPr>
          </w:pPr>
          <w:r>
            <w:rPr>
              <w:rFonts w:ascii="Times New Roman" w:hAnsi="Times New Roman" w:cs="Times New Roman"/>
              <w:sz w:val="24"/>
              <w:szCs w:val="24"/>
            </w:rPr>
            <w:t>Department:</w:t>
          </w:r>
        </w:p>
      </w:tc>
      <w:tc>
        <w:tcPr>
          <w:tcW w:w="2382" w:type="dxa"/>
          <w:vAlign w:val="center"/>
        </w:tcPr>
        <w:p>
          <w:pPr>
            <w:pStyle w:val="13"/>
            <w:rPr>
              <w:rFonts w:ascii="Times New Roman" w:hAnsi="Times New Roman" w:cs="Times New Roman"/>
              <w:sz w:val="24"/>
              <w:szCs w:val="24"/>
            </w:rPr>
          </w:pPr>
          <w:r>
            <w:rPr>
              <w:rFonts w:ascii="Times New Roman" w:hAnsi="Times New Roman" w:cs="Times New Roman"/>
              <w:sz w:val="24"/>
              <w:szCs w:val="24"/>
            </w:rPr>
            <w:t>Quality Assurance</w:t>
          </w:r>
        </w:p>
      </w:tc>
      <w:tc>
        <w:tcPr>
          <w:tcW w:w="2070" w:type="dxa"/>
          <w:vAlign w:val="center"/>
        </w:tcPr>
        <w:p>
          <w:pPr>
            <w:pStyle w:val="13"/>
            <w:rPr>
              <w:rFonts w:ascii="Times New Roman" w:hAnsi="Times New Roman" w:cs="Times New Roman"/>
              <w:sz w:val="24"/>
              <w:szCs w:val="24"/>
            </w:rPr>
          </w:pPr>
          <w:r>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10079006"/>
            <w:docPartObj>
              <w:docPartGallery w:val="autotext"/>
            </w:docPartObj>
          </w:sdtPr>
          <w:sdtEndPr>
            <w:rPr>
              <w:rFonts w:ascii="Times New Roman" w:hAnsi="Times New Roman" w:cs="Times New Roman"/>
              <w:sz w:val="24"/>
              <w:szCs w:val="24"/>
            </w:rPr>
          </w:sdtEndPr>
          <w:sdtContent>
            <w:p>
              <w:pPr>
                <w:spacing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NUMPAGES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080" w:type="dxa"/>
          <w:gridSpan w:val="5"/>
          <w:tcBorders>
            <w:right w:val="single" w:color="auto" w:sz="4" w:space="0"/>
          </w:tcBorders>
          <w:vAlign w:val="center"/>
        </w:tcPr>
        <w:p>
          <w:pPr>
            <w:pStyle w:val="12"/>
            <w:tabs>
              <w:tab w:val="left" w:pos="4514"/>
            </w:tabs>
            <w:rPr>
              <w:rFonts w:ascii="Times New Roman" w:hAnsi="Times New Roman" w:cs="Times New Roman"/>
              <w:b/>
              <w:sz w:val="24"/>
              <w:szCs w:val="24"/>
            </w:rPr>
          </w:pPr>
          <w:r>
            <w:rPr>
              <w:rFonts w:ascii="Times New Roman" w:hAnsi="Times New Roman" w:cs="Times New Roman"/>
              <w:b/>
              <w:bCs/>
              <w:sz w:val="24"/>
              <w:szCs w:val="24"/>
            </w:rPr>
            <w:t xml:space="preserve">TITLE: </w:t>
          </w:r>
          <w:r>
            <w:rPr>
              <w:rFonts w:ascii="Times New Roman" w:hAnsi="Times New Roman" w:cs="Times New Roman"/>
              <w:b/>
              <w:sz w:val="24"/>
              <w:szCs w:val="24"/>
            </w:rPr>
            <w:t>VENDOR MANAGEMENT SYSTEM</w:t>
          </w:r>
        </w:p>
      </w:tc>
    </w:tr>
  </w:tbl>
  <w:p>
    <w:pPr>
      <w:pStyle w:val="13"/>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sz w:val="24"/>
        <w:szCs w:val="24"/>
      </w:rPr>
    </w:pPr>
    <w:r>
      <w:rPr>
        <w:rFonts w:ascii="Times New Roman" w:hAnsi="Times New Roman" w:cs="Times New Roman"/>
        <w:b/>
        <w:sz w:val="24"/>
        <w:szCs w:val="24"/>
      </w:rPr>
      <w:t>STANDARD OPERATING PROCEDURE</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C40C8"/>
    <w:multiLevelType w:val="multilevel"/>
    <w:tmpl w:val="2A1C40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6CF0F59"/>
    <w:multiLevelType w:val="multilevel"/>
    <w:tmpl w:val="56CF0F59"/>
    <w:lvl w:ilvl="0" w:tentative="0">
      <w:start w:val="1"/>
      <w:numFmt w:val="decimal"/>
      <w:lvlText w:val="%1.0"/>
      <w:lvlJc w:val="left"/>
      <w:pPr>
        <w:ind w:left="1065" w:hanging="360"/>
      </w:pPr>
      <w:rPr>
        <w:rFonts w:hint="default"/>
        <w:b/>
        <w:i w:val="0"/>
      </w:rPr>
    </w:lvl>
    <w:lvl w:ilvl="1" w:tentative="0">
      <w:start w:val="1"/>
      <w:numFmt w:val="decimal"/>
      <w:lvlText w:val="%1.%2"/>
      <w:lvlJc w:val="left"/>
      <w:pPr>
        <w:ind w:left="1785" w:hanging="360"/>
      </w:pPr>
      <w:rPr>
        <w:rFonts w:hint="default"/>
        <w:b w:val="0"/>
        <w:i w:val="0"/>
        <w:sz w:val="24"/>
        <w:szCs w:val="24"/>
      </w:rPr>
    </w:lvl>
    <w:lvl w:ilvl="2" w:tentative="0">
      <w:start w:val="1"/>
      <w:numFmt w:val="decimal"/>
      <w:lvlText w:val="%1.%2.%3"/>
      <w:lvlJc w:val="left"/>
      <w:pPr>
        <w:ind w:left="1662" w:hanging="720"/>
      </w:pPr>
      <w:rPr>
        <w:rFonts w:hint="default"/>
        <w:b w:val="0"/>
      </w:rPr>
    </w:lvl>
    <w:lvl w:ilvl="3" w:tentative="0">
      <w:start w:val="1"/>
      <w:numFmt w:val="decimal"/>
      <w:lvlText w:val="%1.%2.%3.%4"/>
      <w:lvlJc w:val="left"/>
      <w:pPr>
        <w:ind w:left="6816" w:hanging="720"/>
      </w:pPr>
      <w:rPr>
        <w:rFonts w:hint="default"/>
        <w:b w:val="0"/>
      </w:rPr>
    </w:lvl>
    <w:lvl w:ilvl="4" w:tentative="0">
      <w:start w:val="1"/>
      <w:numFmt w:val="decimal"/>
      <w:lvlText w:val="%1.%2.%3.%4.%5"/>
      <w:lvlJc w:val="left"/>
      <w:pPr>
        <w:ind w:left="4665" w:hanging="1080"/>
      </w:pPr>
      <w:rPr>
        <w:rFonts w:hint="default"/>
      </w:rPr>
    </w:lvl>
    <w:lvl w:ilvl="5" w:tentative="0">
      <w:start w:val="1"/>
      <w:numFmt w:val="decimal"/>
      <w:lvlText w:val="%1.%2.%3.%4.%5.%6"/>
      <w:lvlJc w:val="left"/>
      <w:pPr>
        <w:ind w:left="5385" w:hanging="1080"/>
      </w:pPr>
      <w:rPr>
        <w:rFonts w:hint="default"/>
      </w:rPr>
    </w:lvl>
    <w:lvl w:ilvl="6" w:tentative="0">
      <w:start w:val="1"/>
      <w:numFmt w:val="decimal"/>
      <w:lvlText w:val="%1.%2.%3.%4.%5.%6.%7"/>
      <w:lvlJc w:val="left"/>
      <w:pPr>
        <w:ind w:left="6465" w:hanging="1440"/>
      </w:pPr>
      <w:rPr>
        <w:rFonts w:hint="default"/>
      </w:rPr>
    </w:lvl>
    <w:lvl w:ilvl="7" w:tentative="0">
      <w:start w:val="1"/>
      <w:numFmt w:val="decimal"/>
      <w:lvlText w:val="%1.%2.%3.%4.%5.%6.%7.%8"/>
      <w:lvlJc w:val="left"/>
      <w:pPr>
        <w:ind w:left="7185" w:hanging="1440"/>
      </w:pPr>
      <w:rPr>
        <w:rFonts w:hint="default"/>
      </w:rPr>
    </w:lvl>
    <w:lvl w:ilvl="8" w:tentative="0">
      <w:start w:val="1"/>
      <w:numFmt w:val="decimal"/>
      <w:lvlText w:val="%1.%2.%3.%4.%5.%6.%7.%8.%9"/>
      <w:lvlJc w:val="left"/>
      <w:pPr>
        <w:ind w:left="8265" w:hanging="1800"/>
      </w:pPr>
      <w:rPr>
        <w:rFonts w:hint="default"/>
      </w:rPr>
    </w:lvl>
  </w:abstractNum>
  <w:abstractNum w:abstractNumId="2">
    <w:nsid w:val="5A78059B"/>
    <w:multiLevelType w:val="multilevel"/>
    <w:tmpl w:val="5A78059B"/>
    <w:lvl w:ilvl="0" w:tentative="0">
      <w:start w:val="1"/>
      <w:numFmt w:val="decimal"/>
      <w:pStyle w:val="19"/>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gutterAtTop/>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EC0BCC"/>
    <w:rsid w:val="000005D8"/>
    <w:rsid w:val="00000725"/>
    <w:rsid w:val="0000333D"/>
    <w:rsid w:val="000063CD"/>
    <w:rsid w:val="000106C1"/>
    <w:rsid w:val="0001307B"/>
    <w:rsid w:val="000167C9"/>
    <w:rsid w:val="00017CE3"/>
    <w:rsid w:val="00030FF4"/>
    <w:rsid w:val="00035289"/>
    <w:rsid w:val="000353DA"/>
    <w:rsid w:val="00035EBB"/>
    <w:rsid w:val="00040920"/>
    <w:rsid w:val="000605DE"/>
    <w:rsid w:val="000658BD"/>
    <w:rsid w:val="00065B31"/>
    <w:rsid w:val="00070AFA"/>
    <w:rsid w:val="00086497"/>
    <w:rsid w:val="00090C13"/>
    <w:rsid w:val="000914A0"/>
    <w:rsid w:val="0009376E"/>
    <w:rsid w:val="000A0C40"/>
    <w:rsid w:val="000A0DBA"/>
    <w:rsid w:val="000A1877"/>
    <w:rsid w:val="000A336B"/>
    <w:rsid w:val="000C062A"/>
    <w:rsid w:val="000D44E1"/>
    <w:rsid w:val="000D5A8C"/>
    <w:rsid w:val="000E2EB6"/>
    <w:rsid w:val="000E32A1"/>
    <w:rsid w:val="000F1D87"/>
    <w:rsid w:val="000F2E60"/>
    <w:rsid w:val="000F302E"/>
    <w:rsid w:val="000F4427"/>
    <w:rsid w:val="000F5385"/>
    <w:rsid w:val="0011199E"/>
    <w:rsid w:val="00122A5F"/>
    <w:rsid w:val="00125075"/>
    <w:rsid w:val="00127CAC"/>
    <w:rsid w:val="001471CA"/>
    <w:rsid w:val="00150229"/>
    <w:rsid w:val="001508C2"/>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7317"/>
    <w:rsid w:val="001C4BF0"/>
    <w:rsid w:val="001C4C1C"/>
    <w:rsid w:val="001D0C01"/>
    <w:rsid w:val="001D2C57"/>
    <w:rsid w:val="001D5BCE"/>
    <w:rsid w:val="001D6B97"/>
    <w:rsid w:val="001E147D"/>
    <w:rsid w:val="001E36FD"/>
    <w:rsid w:val="001E40A2"/>
    <w:rsid w:val="001F1491"/>
    <w:rsid w:val="00211931"/>
    <w:rsid w:val="00220225"/>
    <w:rsid w:val="0022693A"/>
    <w:rsid w:val="00230024"/>
    <w:rsid w:val="002308E3"/>
    <w:rsid w:val="00241434"/>
    <w:rsid w:val="00241A3C"/>
    <w:rsid w:val="0024248D"/>
    <w:rsid w:val="00244ACF"/>
    <w:rsid w:val="002451E0"/>
    <w:rsid w:val="002455B9"/>
    <w:rsid w:val="002471C2"/>
    <w:rsid w:val="0025359A"/>
    <w:rsid w:val="002571CA"/>
    <w:rsid w:val="00262311"/>
    <w:rsid w:val="002671CC"/>
    <w:rsid w:val="002720DF"/>
    <w:rsid w:val="002760D4"/>
    <w:rsid w:val="002832FC"/>
    <w:rsid w:val="00287A09"/>
    <w:rsid w:val="00291930"/>
    <w:rsid w:val="00291AA3"/>
    <w:rsid w:val="00292B69"/>
    <w:rsid w:val="002936F3"/>
    <w:rsid w:val="00293F4F"/>
    <w:rsid w:val="0029598B"/>
    <w:rsid w:val="00295AD7"/>
    <w:rsid w:val="002A53F6"/>
    <w:rsid w:val="002A72CD"/>
    <w:rsid w:val="002B1BC7"/>
    <w:rsid w:val="002B1CB3"/>
    <w:rsid w:val="002B489E"/>
    <w:rsid w:val="002B561F"/>
    <w:rsid w:val="002C0369"/>
    <w:rsid w:val="002C06E8"/>
    <w:rsid w:val="002C1C1B"/>
    <w:rsid w:val="002C20A7"/>
    <w:rsid w:val="002C2E8A"/>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E5F"/>
    <w:rsid w:val="003178E8"/>
    <w:rsid w:val="00322B53"/>
    <w:rsid w:val="00324A3C"/>
    <w:rsid w:val="00325093"/>
    <w:rsid w:val="00326092"/>
    <w:rsid w:val="003319B7"/>
    <w:rsid w:val="00336092"/>
    <w:rsid w:val="003376D7"/>
    <w:rsid w:val="00337DEB"/>
    <w:rsid w:val="00343C60"/>
    <w:rsid w:val="00350B27"/>
    <w:rsid w:val="00352994"/>
    <w:rsid w:val="00353F99"/>
    <w:rsid w:val="00354E9D"/>
    <w:rsid w:val="0036325F"/>
    <w:rsid w:val="00367D0F"/>
    <w:rsid w:val="0037450A"/>
    <w:rsid w:val="0037682E"/>
    <w:rsid w:val="003870FD"/>
    <w:rsid w:val="003A3C51"/>
    <w:rsid w:val="003A672C"/>
    <w:rsid w:val="003A7594"/>
    <w:rsid w:val="003B00F2"/>
    <w:rsid w:val="003B17E4"/>
    <w:rsid w:val="003B696A"/>
    <w:rsid w:val="003C43F8"/>
    <w:rsid w:val="003C5119"/>
    <w:rsid w:val="003C7A39"/>
    <w:rsid w:val="003D347A"/>
    <w:rsid w:val="003D5C50"/>
    <w:rsid w:val="003D73AD"/>
    <w:rsid w:val="003E2EBD"/>
    <w:rsid w:val="003E3B64"/>
    <w:rsid w:val="003F0E19"/>
    <w:rsid w:val="003F11F4"/>
    <w:rsid w:val="003F223C"/>
    <w:rsid w:val="003F48CA"/>
    <w:rsid w:val="00403743"/>
    <w:rsid w:val="004053A1"/>
    <w:rsid w:val="0040556C"/>
    <w:rsid w:val="0040759A"/>
    <w:rsid w:val="00414228"/>
    <w:rsid w:val="00414D10"/>
    <w:rsid w:val="0042007D"/>
    <w:rsid w:val="00420121"/>
    <w:rsid w:val="00427C08"/>
    <w:rsid w:val="0043146D"/>
    <w:rsid w:val="00431606"/>
    <w:rsid w:val="0043456B"/>
    <w:rsid w:val="00435038"/>
    <w:rsid w:val="0043645B"/>
    <w:rsid w:val="004404A2"/>
    <w:rsid w:val="0044070E"/>
    <w:rsid w:val="0044547E"/>
    <w:rsid w:val="00446797"/>
    <w:rsid w:val="004505C8"/>
    <w:rsid w:val="0045172F"/>
    <w:rsid w:val="004521A6"/>
    <w:rsid w:val="0045425A"/>
    <w:rsid w:val="00460BEB"/>
    <w:rsid w:val="00461195"/>
    <w:rsid w:val="00464B7F"/>
    <w:rsid w:val="00476F33"/>
    <w:rsid w:val="00483151"/>
    <w:rsid w:val="004871BF"/>
    <w:rsid w:val="00487279"/>
    <w:rsid w:val="00487E88"/>
    <w:rsid w:val="00493BA9"/>
    <w:rsid w:val="004948D2"/>
    <w:rsid w:val="004A4C84"/>
    <w:rsid w:val="004A57DD"/>
    <w:rsid w:val="004B5567"/>
    <w:rsid w:val="004C2478"/>
    <w:rsid w:val="004C3C5E"/>
    <w:rsid w:val="004C4D9B"/>
    <w:rsid w:val="004D5B61"/>
    <w:rsid w:val="004D7DF2"/>
    <w:rsid w:val="004E2429"/>
    <w:rsid w:val="004F0966"/>
    <w:rsid w:val="004F5777"/>
    <w:rsid w:val="00511CDB"/>
    <w:rsid w:val="00523E56"/>
    <w:rsid w:val="005253D2"/>
    <w:rsid w:val="00525B53"/>
    <w:rsid w:val="0052723B"/>
    <w:rsid w:val="00530B0A"/>
    <w:rsid w:val="00531E71"/>
    <w:rsid w:val="0053373F"/>
    <w:rsid w:val="00536E15"/>
    <w:rsid w:val="00540E43"/>
    <w:rsid w:val="00550973"/>
    <w:rsid w:val="0055161C"/>
    <w:rsid w:val="00551CF6"/>
    <w:rsid w:val="0055238C"/>
    <w:rsid w:val="005529D6"/>
    <w:rsid w:val="00555FE3"/>
    <w:rsid w:val="00560093"/>
    <w:rsid w:val="005605EA"/>
    <w:rsid w:val="00561946"/>
    <w:rsid w:val="0057143E"/>
    <w:rsid w:val="005729A8"/>
    <w:rsid w:val="00574BA2"/>
    <w:rsid w:val="00576462"/>
    <w:rsid w:val="005771FA"/>
    <w:rsid w:val="00577842"/>
    <w:rsid w:val="00595559"/>
    <w:rsid w:val="005A459B"/>
    <w:rsid w:val="005A7E84"/>
    <w:rsid w:val="005B04F2"/>
    <w:rsid w:val="005B493F"/>
    <w:rsid w:val="005B4C63"/>
    <w:rsid w:val="005B75FD"/>
    <w:rsid w:val="005B774D"/>
    <w:rsid w:val="005B7BEB"/>
    <w:rsid w:val="005C3138"/>
    <w:rsid w:val="005C3C98"/>
    <w:rsid w:val="005C74FA"/>
    <w:rsid w:val="005D7598"/>
    <w:rsid w:val="005E6249"/>
    <w:rsid w:val="005F06E7"/>
    <w:rsid w:val="005F0D90"/>
    <w:rsid w:val="005F1713"/>
    <w:rsid w:val="005F64D6"/>
    <w:rsid w:val="005F6C47"/>
    <w:rsid w:val="0060419A"/>
    <w:rsid w:val="00605E10"/>
    <w:rsid w:val="00606004"/>
    <w:rsid w:val="00612F65"/>
    <w:rsid w:val="006151FA"/>
    <w:rsid w:val="00617A71"/>
    <w:rsid w:val="00620E6F"/>
    <w:rsid w:val="00621D9E"/>
    <w:rsid w:val="00622DA7"/>
    <w:rsid w:val="00633BC0"/>
    <w:rsid w:val="0063487D"/>
    <w:rsid w:val="00637FA9"/>
    <w:rsid w:val="0064098F"/>
    <w:rsid w:val="006413CC"/>
    <w:rsid w:val="00646899"/>
    <w:rsid w:val="00647E90"/>
    <w:rsid w:val="006503C6"/>
    <w:rsid w:val="00653AF5"/>
    <w:rsid w:val="006546BC"/>
    <w:rsid w:val="00687331"/>
    <w:rsid w:val="0069023E"/>
    <w:rsid w:val="006903DD"/>
    <w:rsid w:val="00690DB6"/>
    <w:rsid w:val="00692D07"/>
    <w:rsid w:val="0069368A"/>
    <w:rsid w:val="00695317"/>
    <w:rsid w:val="0069558E"/>
    <w:rsid w:val="006A1858"/>
    <w:rsid w:val="006A4C3C"/>
    <w:rsid w:val="006A4D99"/>
    <w:rsid w:val="006A5BFD"/>
    <w:rsid w:val="006A7E76"/>
    <w:rsid w:val="006B133F"/>
    <w:rsid w:val="006B2956"/>
    <w:rsid w:val="006B3693"/>
    <w:rsid w:val="006C6332"/>
    <w:rsid w:val="006C7E07"/>
    <w:rsid w:val="006D29A4"/>
    <w:rsid w:val="006D3F63"/>
    <w:rsid w:val="006D594A"/>
    <w:rsid w:val="006E314E"/>
    <w:rsid w:val="006E38EE"/>
    <w:rsid w:val="006F0114"/>
    <w:rsid w:val="006F0DCB"/>
    <w:rsid w:val="006F1955"/>
    <w:rsid w:val="006F2AB5"/>
    <w:rsid w:val="006F78FB"/>
    <w:rsid w:val="00710884"/>
    <w:rsid w:val="007122CE"/>
    <w:rsid w:val="00713CE3"/>
    <w:rsid w:val="00722393"/>
    <w:rsid w:val="007239C2"/>
    <w:rsid w:val="00726122"/>
    <w:rsid w:val="00730388"/>
    <w:rsid w:val="00735712"/>
    <w:rsid w:val="00736D50"/>
    <w:rsid w:val="00740365"/>
    <w:rsid w:val="0074081A"/>
    <w:rsid w:val="00742777"/>
    <w:rsid w:val="00746827"/>
    <w:rsid w:val="007550A2"/>
    <w:rsid w:val="00760C16"/>
    <w:rsid w:val="00761134"/>
    <w:rsid w:val="007616A1"/>
    <w:rsid w:val="007632FB"/>
    <w:rsid w:val="00774D66"/>
    <w:rsid w:val="00777F0F"/>
    <w:rsid w:val="0078090B"/>
    <w:rsid w:val="00781701"/>
    <w:rsid w:val="007839B3"/>
    <w:rsid w:val="00783BFA"/>
    <w:rsid w:val="0078616E"/>
    <w:rsid w:val="00790AF8"/>
    <w:rsid w:val="00790FF6"/>
    <w:rsid w:val="00793DD7"/>
    <w:rsid w:val="007A79B0"/>
    <w:rsid w:val="007B43EA"/>
    <w:rsid w:val="007B7745"/>
    <w:rsid w:val="007B7D3E"/>
    <w:rsid w:val="007C2269"/>
    <w:rsid w:val="007C4164"/>
    <w:rsid w:val="007D4A2D"/>
    <w:rsid w:val="007D7D35"/>
    <w:rsid w:val="007E063A"/>
    <w:rsid w:val="007E4E5D"/>
    <w:rsid w:val="007E5501"/>
    <w:rsid w:val="007E7F4F"/>
    <w:rsid w:val="007F1FB2"/>
    <w:rsid w:val="007F3B05"/>
    <w:rsid w:val="007F51AA"/>
    <w:rsid w:val="007F76D4"/>
    <w:rsid w:val="007F7C72"/>
    <w:rsid w:val="007F7D62"/>
    <w:rsid w:val="00804561"/>
    <w:rsid w:val="008149B4"/>
    <w:rsid w:val="00815F6D"/>
    <w:rsid w:val="00846533"/>
    <w:rsid w:val="00853B73"/>
    <w:rsid w:val="008545F9"/>
    <w:rsid w:val="008643E9"/>
    <w:rsid w:val="00870719"/>
    <w:rsid w:val="00871D21"/>
    <w:rsid w:val="00873FC5"/>
    <w:rsid w:val="00882008"/>
    <w:rsid w:val="008843DE"/>
    <w:rsid w:val="00886690"/>
    <w:rsid w:val="00890AD1"/>
    <w:rsid w:val="00891244"/>
    <w:rsid w:val="00895150"/>
    <w:rsid w:val="008A0F30"/>
    <w:rsid w:val="008A1FD2"/>
    <w:rsid w:val="008A2177"/>
    <w:rsid w:val="008A39E7"/>
    <w:rsid w:val="008A3C4F"/>
    <w:rsid w:val="008A5A91"/>
    <w:rsid w:val="008A6833"/>
    <w:rsid w:val="008B05EA"/>
    <w:rsid w:val="008B7F0D"/>
    <w:rsid w:val="008C052D"/>
    <w:rsid w:val="008C1F66"/>
    <w:rsid w:val="008D342C"/>
    <w:rsid w:val="008D396B"/>
    <w:rsid w:val="008D673F"/>
    <w:rsid w:val="008D716A"/>
    <w:rsid w:val="008D7180"/>
    <w:rsid w:val="008D7529"/>
    <w:rsid w:val="008E6F88"/>
    <w:rsid w:val="008E782F"/>
    <w:rsid w:val="009009BB"/>
    <w:rsid w:val="009050A2"/>
    <w:rsid w:val="00906CBB"/>
    <w:rsid w:val="00911889"/>
    <w:rsid w:val="009120FF"/>
    <w:rsid w:val="00917A38"/>
    <w:rsid w:val="00917BE5"/>
    <w:rsid w:val="009273D6"/>
    <w:rsid w:val="009321C6"/>
    <w:rsid w:val="0093758C"/>
    <w:rsid w:val="009406D9"/>
    <w:rsid w:val="009410C0"/>
    <w:rsid w:val="00943896"/>
    <w:rsid w:val="00945A05"/>
    <w:rsid w:val="00950DD7"/>
    <w:rsid w:val="00951EC1"/>
    <w:rsid w:val="009548AA"/>
    <w:rsid w:val="0095504A"/>
    <w:rsid w:val="00977609"/>
    <w:rsid w:val="00980CAE"/>
    <w:rsid w:val="00981DF7"/>
    <w:rsid w:val="0098533C"/>
    <w:rsid w:val="00985499"/>
    <w:rsid w:val="0098676C"/>
    <w:rsid w:val="00993376"/>
    <w:rsid w:val="009A0FBA"/>
    <w:rsid w:val="009A696E"/>
    <w:rsid w:val="009B51BA"/>
    <w:rsid w:val="009B74BF"/>
    <w:rsid w:val="009C734D"/>
    <w:rsid w:val="009D02F0"/>
    <w:rsid w:val="009D5CC3"/>
    <w:rsid w:val="009E1596"/>
    <w:rsid w:val="009E4062"/>
    <w:rsid w:val="009E5DA7"/>
    <w:rsid w:val="009F4B80"/>
    <w:rsid w:val="00A12421"/>
    <w:rsid w:val="00A13536"/>
    <w:rsid w:val="00A23595"/>
    <w:rsid w:val="00A238C1"/>
    <w:rsid w:val="00A3046C"/>
    <w:rsid w:val="00A3130A"/>
    <w:rsid w:val="00A334EC"/>
    <w:rsid w:val="00A41242"/>
    <w:rsid w:val="00A42115"/>
    <w:rsid w:val="00A51BA8"/>
    <w:rsid w:val="00A51E39"/>
    <w:rsid w:val="00A5685A"/>
    <w:rsid w:val="00A57816"/>
    <w:rsid w:val="00A630B9"/>
    <w:rsid w:val="00A63651"/>
    <w:rsid w:val="00A7016C"/>
    <w:rsid w:val="00A70AC5"/>
    <w:rsid w:val="00A76225"/>
    <w:rsid w:val="00A769AB"/>
    <w:rsid w:val="00A92A12"/>
    <w:rsid w:val="00A93C89"/>
    <w:rsid w:val="00A95189"/>
    <w:rsid w:val="00A97830"/>
    <w:rsid w:val="00AA407D"/>
    <w:rsid w:val="00AA4C24"/>
    <w:rsid w:val="00AB0D64"/>
    <w:rsid w:val="00AB1EB1"/>
    <w:rsid w:val="00AC2DC7"/>
    <w:rsid w:val="00AC40D6"/>
    <w:rsid w:val="00AC605C"/>
    <w:rsid w:val="00AD3836"/>
    <w:rsid w:val="00AD609B"/>
    <w:rsid w:val="00AE0DFF"/>
    <w:rsid w:val="00AE0EA8"/>
    <w:rsid w:val="00AE0FBC"/>
    <w:rsid w:val="00AF5E88"/>
    <w:rsid w:val="00AF6B5B"/>
    <w:rsid w:val="00B03B4B"/>
    <w:rsid w:val="00B113C2"/>
    <w:rsid w:val="00B2286B"/>
    <w:rsid w:val="00B25F89"/>
    <w:rsid w:val="00B27E03"/>
    <w:rsid w:val="00B31E96"/>
    <w:rsid w:val="00B32B21"/>
    <w:rsid w:val="00B42F64"/>
    <w:rsid w:val="00B44392"/>
    <w:rsid w:val="00B4706F"/>
    <w:rsid w:val="00B62AB8"/>
    <w:rsid w:val="00B67A12"/>
    <w:rsid w:val="00B71103"/>
    <w:rsid w:val="00B73F74"/>
    <w:rsid w:val="00B7760B"/>
    <w:rsid w:val="00B77C19"/>
    <w:rsid w:val="00B8033C"/>
    <w:rsid w:val="00B80887"/>
    <w:rsid w:val="00B82ACB"/>
    <w:rsid w:val="00B857B7"/>
    <w:rsid w:val="00B878BE"/>
    <w:rsid w:val="00B91848"/>
    <w:rsid w:val="00B952AB"/>
    <w:rsid w:val="00BA1125"/>
    <w:rsid w:val="00BA1497"/>
    <w:rsid w:val="00BA7263"/>
    <w:rsid w:val="00BB0D72"/>
    <w:rsid w:val="00BC0B24"/>
    <w:rsid w:val="00BC151D"/>
    <w:rsid w:val="00BC355F"/>
    <w:rsid w:val="00BC7729"/>
    <w:rsid w:val="00BD039C"/>
    <w:rsid w:val="00BD2CC4"/>
    <w:rsid w:val="00BD4E7C"/>
    <w:rsid w:val="00BE2EC2"/>
    <w:rsid w:val="00BF11A1"/>
    <w:rsid w:val="00BF1F2E"/>
    <w:rsid w:val="00BF279C"/>
    <w:rsid w:val="00BF5528"/>
    <w:rsid w:val="00C00065"/>
    <w:rsid w:val="00C030C1"/>
    <w:rsid w:val="00C05356"/>
    <w:rsid w:val="00C07E67"/>
    <w:rsid w:val="00C15497"/>
    <w:rsid w:val="00C1760D"/>
    <w:rsid w:val="00C17CAA"/>
    <w:rsid w:val="00C22F6B"/>
    <w:rsid w:val="00C233F3"/>
    <w:rsid w:val="00C31082"/>
    <w:rsid w:val="00C31FD4"/>
    <w:rsid w:val="00C33E2F"/>
    <w:rsid w:val="00C3424B"/>
    <w:rsid w:val="00C3527C"/>
    <w:rsid w:val="00C40B85"/>
    <w:rsid w:val="00C42D96"/>
    <w:rsid w:val="00C5001C"/>
    <w:rsid w:val="00C51E60"/>
    <w:rsid w:val="00C5375A"/>
    <w:rsid w:val="00C57655"/>
    <w:rsid w:val="00C578A5"/>
    <w:rsid w:val="00C60535"/>
    <w:rsid w:val="00C61F92"/>
    <w:rsid w:val="00C62EEB"/>
    <w:rsid w:val="00C630D1"/>
    <w:rsid w:val="00C63A0F"/>
    <w:rsid w:val="00C644CD"/>
    <w:rsid w:val="00C67415"/>
    <w:rsid w:val="00C67C52"/>
    <w:rsid w:val="00C72735"/>
    <w:rsid w:val="00C76585"/>
    <w:rsid w:val="00C77AE5"/>
    <w:rsid w:val="00C82093"/>
    <w:rsid w:val="00C82654"/>
    <w:rsid w:val="00C86872"/>
    <w:rsid w:val="00C91F35"/>
    <w:rsid w:val="00C9387A"/>
    <w:rsid w:val="00C95646"/>
    <w:rsid w:val="00C977DF"/>
    <w:rsid w:val="00CA1400"/>
    <w:rsid w:val="00CA1DCA"/>
    <w:rsid w:val="00CB0564"/>
    <w:rsid w:val="00CB1654"/>
    <w:rsid w:val="00CB2E9C"/>
    <w:rsid w:val="00CC23BC"/>
    <w:rsid w:val="00CD3B8F"/>
    <w:rsid w:val="00CD70E0"/>
    <w:rsid w:val="00CE364C"/>
    <w:rsid w:val="00CE584D"/>
    <w:rsid w:val="00CE7994"/>
    <w:rsid w:val="00CF6E67"/>
    <w:rsid w:val="00D007BF"/>
    <w:rsid w:val="00D032F9"/>
    <w:rsid w:val="00D047AA"/>
    <w:rsid w:val="00D05DDF"/>
    <w:rsid w:val="00D15AE6"/>
    <w:rsid w:val="00D1709B"/>
    <w:rsid w:val="00D207AC"/>
    <w:rsid w:val="00D22771"/>
    <w:rsid w:val="00D34125"/>
    <w:rsid w:val="00D357B8"/>
    <w:rsid w:val="00D36A51"/>
    <w:rsid w:val="00D41AE0"/>
    <w:rsid w:val="00D50FDE"/>
    <w:rsid w:val="00D529CE"/>
    <w:rsid w:val="00D5372B"/>
    <w:rsid w:val="00D60615"/>
    <w:rsid w:val="00D8018A"/>
    <w:rsid w:val="00D84C26"/>
    <w:rsid w:val="00D92712"/>
    <w:rsid w:val="00D93C05"/>
    <w:rsid w:val="00D944C3"/>
    <w:rsid w:val="00D9569B"/>
    <w:rsid w:val="00DA4164"/>
    <w:rsid w:val="00DB0909"/>
    <w:rsid w:val="00DB0AF7"/>
    <w:rsid w:val="00DB38CB"/>
    <w:rsid w:val="00DB4427"/>
    <w:rsid w:val="00DB5133"/>
    <w:rsid w:val="00DB67D4"/>
    <w:rsid w:val="00DB6F64"/>
    <w:rsid w:val="00DB7011"/>
    <w:rsid w:val="00DC032B"/>
    <w:rsid w:val="00DC0DD6"/>
    <w:rsid w:val="00DC0DE7"/>
    <w:rsid w:val="00DC32C8"/>
    <w:rsid w:val="00DC4A87"/>
    <w:rsid w:val="00DC4A89"/>
    <w:rsid w:val="00DC66F1"/>
    <w:rsid w:val="00DC6D4A"/>
    <w:rsid w:val="00DE2A5C"/>
    <w:rsid w:val="00E02D08"/>
    <w:rsid w:val="00E06B15"/>
    <w:rsid w:val="00E1009B"/>
    <w:rsid w:val="00E10B38"/>
    <w:rsid w:val="00E1132C"/>
    <w:rsid w:val="00E1177C"/>
    <w:rsid w:val="00E23109"/>
    <w:rsid w:val="00E342F8"/>
    <w:rsid w:val="00E37FAD"/>
    <w:rsid w:val="00E44F0D"/>
    <w:rsid w:val="00E53ACD"/>
    <w:rsid w:val="00E5771F"/>
    <w:rsid w:val="00E62DA9"/>
    <w:rsid w:val="00E63212"/>
    <w:rsid w:val="00E632B6"/>
    <w:rsid w:val="00E8130F"/>
    <w:rsid w:val="00E82F99"/>
    <w:rsid w:val="00E83119"/>
    <w:rsid w:val="00E90E8D"/>
    <w:rsid w:val="00E91406"/>
    <w:rsid w:val="00E97098"/>
    <w:rsid w:val="00EA137C"/>
    <w:rsid w:val="00EA1DB7"/>
    <w:rsid w:val="00EA7C9B"/>
    <w:rsid w:val="00EC0BCC"/>
    <w:rsid w:val="00EC1CCE"/>
    <w:rsid w:val="00EC6D9F"/>
    <w:rsid w:val="00ED3A2F"/>
    <w:rsid w:val="00ED4D57"/>
    <w:rsid w:val="00EE305E"/>
    <w:rsid w:val="00EE5A2E"/>
    <w:rsid w:val="00EE68A1"/>
    <w:rsid w:val="00EE6DE3"/>
    <w:rsid w:val="00EF3E24"/>
    <w:rsid w:val="00EF40F1"/>
    <w:rsid w:val="00EF50CD"/>
    <w:rsid w:val="00EF74AB"/>
    <w:rsid w:val="00F00115"/>
    <w:rsid w:val="00F03B12"/>
    <w:rsid w:val="00F03E2B"/>
    <w:rsid w:val="00F06EF1"/>
    <w:rsid w:val="00F17556"/>
    <w:rsid w:val="00F177D5"/>
    <w:rsid w:val="00F24C01"/>
    <w:rsid w:val="00F33636"/>
    <w:rsid w:val="00F35174"/>
    <w:rsid w:val="00F3684B"/>
    <w:rsid w:val="00F36DD3"/>
    <w:rsid w:val="00F426DB"/>
    <w:rsid w:val="00F44379"/>
    <w:rsid w:val="00F4551E"/>
    <w:rsid w:val="00F566A3"/>
    <w:rsid w:val="00F6066F"/>
    <w:rsid w:val="00F61C23"/>
    <w:rsid w:val="00F61C60"/>
    <w:rsid w:val="00F62567"/>
    <w:rsid w:val="00F62B26"/>
    <w:rsid w:val="00F71B91"/>
    <w:rsid w:val="00F732E8"/>
    <w:rsid w:val="00F736B7"/>
    <w:rsid w:val="00F75D5F"/>
    <w:rsid w:val="00F75F74"/>
    <w:rsid w:val="00F779E9"/>
    <w:rsid w:val="00F8434F"/>
    <w:rsid w:val="00F93FD8"/>
    <w:rsid w:val="00F96126"/>
    <w:rsid w:val="00FA4FDF"/>
    <w:rsid w:val="00FA57D5"/>
    <w:rsid w:val="00FA6BC3"/>
    <w:rsid w:val="00FB1CCC"/>
    <w:rsid w:val="00FC546F"/>
    <w:rsid w:val="00FC5A9C"/>
    <w:rsid w:val="00FD1EE1"/>
    <w:rsid w:val="00FD7AC2"/>
    <w:rsid w:val="00FE043C"/>
    <w:rsid w:val="00FE0825"/>
    <w:rsid w:val="00FE591F"/>
    <w:rsid w:val="00FF374C"/>
    <w:rsid w:val="00FF4534"/>
    <w:rsid w:val="037F5DDC"/>
    <w:rsid w:val="04E777FE"/>
    <w:rsid w:val="05945AE2"/>
    <w:rsid w:val="06840242"/>
    <w:rsid w:val="092B2426"/>
    <w:rsid w:val="1AB147F4"/>
    <w:rsid w:val="1B401195"/>
    <w:rsid w:val="20303172"/>
    <w:rsid w:val="2D1C633A"/>
    <w:rsid w:val="389938C6"/>
    <w:rsid w:val="3A0D4AFD"/>
    <w:rsid w:val="3C06488B"/>
    <w:rsid w:val="3D215D01"/>
    <w:rsid w:val="3D224275"/>
    <w:rsid w:val="3DA4563B"/>
    <w:rsid w:val="465157D0"/>
    <w:rsid w:val="503421D7"/>
    <w:rsid w:val="56050121"/>
    <w:rsid w:val="61C6084C"/>
    <w:rsid w:val="76B45E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sz w:val="22"/>
      <w:szCs w:val="22"/>
      <w:lang w:val="en-US" w:eastAsia="en-US" w:bidi="ar-SA"/>
    </w:rPr>
  </w:style>
  <w:style w:type="paragraph" w:styleId="2">
    <w:name w:val="heading 3"/>
    <w:basedOn w:val="1"/>
    <w:next w:val="1"/>
    <w:link w:val="16"/>
    <w:qFormat/>
    <w:uiPriority w:val="0"/>
    <w:pPr>
      <w:keepNext/>
      <w:tabs>
        <w:tab w:val="left" w:pos="-90"/>
        <w:tab w:val="left" w:pos="0"/>
      </w:tabs>
      <w:outlineLvl w:val="2"/>
    </w:pPr>
    <w:rPr>
      <w:rFonts w:ascii="Times New Roman" w:hAnsi="Times New Roman" w:eastAsia="Times New Roman" w:cs="Times New Roman"/>
      <w:color w:val="000000"/>
      <w:sz w:val="24"/>
      <w:szCs w:val="20"/>
    </w:rPr>
  </w:style>
  <w:style w:type="paragraph" w:styleId="3">
    <w:name w:val="heading 4"/>
    <w:basedOn w:val="1"/>
    <w:next w:val="1"/>
    <w:link w:val="23"/>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line="240" w:lineRule="auto"/>
    </w:pPr>
    <w:rPr>
      <w:rFonts w:ascii="Tahoma" w:hAnsi="Tahoma" w:cs="Tahoma"/>
      <w:sz w:val="16"/>
      <w:szCs w:val="16"/>
    </w:rPr>
  </w:style>
  <w:style w:type="paragraph" w:styleId="7">
    <w:name w:val="Body Text 2"/>
    <w:basedOn w:val="1"/>
    <w:link w:val="24"/>
    <w:qFormat/>
    <w:uiPriority w:val="0"/>
    <w:pPr>
      <w:spacing w:line="240" w:lineRule="auto"/>
    </w:pPr>
    <w:rPr>
      <w:rFonts w:ascii="Times New Roman" w:hAnsi="Times New Roman" w:eastAsia="Times New Roman" w:cs="Times New Roman"/>
      <w:b/>
      <w:i/>
      <w:sz w:val="24"/>
      <w:szCs w:val="20"/>
    </w:rPr>
  </w:style>
  <w:style w:type="paragraph" w:styleId="8">
    <w:name w:val="Body Text Indent"/>
    <w:basedOn w:val="1"/>
    <w:link w:val="28"/>
    <w:semiHidden/>
    <w:unhideWhenUsed/>
    <w:qFormat/>
    <w:uiPriority w:val="99"/>
    <w:pPr>
      <w:spacing w:after="120"/>
      <w:ind w:left="283"/>
    </w:pPr>
  </w:style>
  <w:style w:type="character" w:styleId="9">
    <w:name w:val="annotation reference"/>
    <w:basedOn w:val="4"/>
    <w:semiHidden/>
    <w:unhideWhenUsed/>
    <w:qFormat/>
    <w:uiPriority w:val="99"/>
    <w:rPr>
      <w:sz w:val="16"/>
      <w:szCs w:val="16"/>
    </w:rPr>
  </w:style>
  <w:style w:type="paragraph" w:styleId="10">
    <w:name w:val="annotation text"/>
    <w:basedOn w:val="1"/>
    <w:link w:val="25"/>
    <w:semiHidden/>
    <w:qFormat/>
    <w:uiPriority w:val="0"/>
    <w:pPr>
      <w:spacing w:line="240" w:lineRule="auto"/>
    </w:pPr>
    <w:rPr>
      <w:rFonts w:ascii="Times New Roman" w:hAnsi="Times New Roman" w:eastAsia="Times New Roman" w:cs="Times New Roman"/>
      <w:sz w:val="20"/>
      <w:szCs w:val="20"/>
    </w:rPr>
  </w:style>
  <w:style w:type="paragraph" w:styleId="11">
    <w:name w:val="annotation subject"/>
    <w:basedOn w:val="10"/>
    <w:next w:val="10"/>
    <w:link w:val="26"/>
    <w:semiHidden/>
    <w:unhideWhenUsed/>
    <w:qFormat/>
    <w:uiPriority w:val="99"/>
    <w:rPr>
      <w:rFonts w:asciiTheme="minorHAnsi" w:hAnsiTheme="minorHAnsi" w:eastAsiaTheme="minorEastAsia" w:cstheme="minorBidi"/>
      <w:b/>
      <w:bCs/>
    </w:rPr>
  </w:style>
  <w:style w:type="paragraph" w:styleId="12">
    <w:name w:val="footer"/>
    <w:basedOn w:val="1"/>
    <w:link w:val="21"/>
    <w:unhideWhenUsed/>
    <w:qFormat/>
    <w:uiPriority w:val="0"/>
    <w:pPr>
      <w:tabs>
        <w:tab w:val="center" w:pos="4680"/>
        <w:tab w:val="right" w:pos="9360"/>
      </w:tabs>
      <w:spacing w:line="240" w:lineRule="auto"/>
    </w:pPr>
  </w:style>
  <w:style w:type="paragraph" w:styleId="13">
    <w:name w:val="header"/>
    <w:basedOn w:val="1"/>
    <w:link w:val="20"/>
    <w:unhideWhenUsed/>
    <w:qFormat/>
    <w:uiPriority w:val="99"/>
    <w:pPr>
      <w:tabs>
        <w:tab w:val="center" w:pos="4680"/>
        <w:tab w:val="right" w:pos="9360"/>
      </w:tabs>
      <w:spacing w:line="240" w:lineRule="auto"/>
    </w:pPr>
  </w:style>
  <w:style w:type="character" w:styleId="14">
    <w:name w:val="page number"/>
    <w:basedOn w:val="4"/>
    <w:qFormat/>
    <w:uiPriority w:val="0"/>
  </w:style>
  <w:style w:type="table" w:styleId="15">
    <w:name w:val="Table Grid"/>
    <w:basedOn w:val="5"/>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ing 3 Char"/>
    <w:basedOn w:val="4"/>
    <w:link w:val="2"/>
    <w:qFormat/>
    <w:uiPriority w:val="0"/>
    <w:rPr>
      <w:rFonts w:ascii="Times New Roman" w:hAnsi="Times New Roman" w:eastAsia="Times New Roman" w:cs="Times New Roman"/>
      <w:color w:val="000000"/>
      <w:sz w:val="24"/>
      <w:szCs w:val="20"/>
    </w:rPr>
  </w:style>
  <w:style w:type="paragraph" w:customStyle="1" w:styleId="17">
    <w:name w:val="Style"/>
    <w:qFormat/>
    <w:uiPriority w:val="0"/>
    <w:pPr>
      <w:widowControl w:val="0"/>
      <w:autoSpaceDE w:val="0"/>
      <w:autoSpaceDN w:val="0"/>
      <w:adjustRightInd w:val="0"/>
      <w:spacing w:line="360" w:lineRule="auto"/>
      <w:ind w:left="810" w:hanging="720"/>
    </w:pPr>
    <w:rPr>
      <w:rFonts w:ascii="Times New Roman" w:hAnsi="Times New Roman" w:eastAsia="Times New Roman" w:cs="Times New Roman"/>
      <w:color w:val="000000"/>
      <w:sz w:val="24"/>
      <w:szCs w:val="24"/>
      <w:lang w:val="en-US" w:eastAsia="en-US" w:bidi="ar-SA"/>
    </w:rPr>
  </w:style>
  <w:style w:type="paragraph" w:styleId="18">
    <w:name w:val="List Paragraph"/>
    <w:basedOn w:val="1"/>
    <w:qFormat/>
    <w:uiPriority w:val="34"/>
    <w:pPr>
      <w:spacing w:line="240" w:lineRule="auto"/>
      <w:ind w:left="720"/>
      <w:contextualSpacing/>
    </w:pPr>
    <w:rPr>
      <w:rFonts w:ascii="Times New Roman" w:hAnsi="Times New Roman" w:eastAsia="Times New Roman" w:cs="Times New Roman"/>
      <w:sz w:val="20"/>
      <w:szCs w:val="20"/>
    </w:rPr>
  </w:style>
  <w:style w:type="paragraph" w:customStyle="1" w:styleId="19">
    <w:name w:val="Numbered list"/>
    <w:basedOn w:val="1"/>
    <w:qFormat/>
    <w:uiPriority w:val="0"/>
    <w:pPr>
      <w:numPr>
        <w:ilvl w:val="0"/>
        <w:numId w:val="1"/>
      </w:numPr>
      <w:spacing w:before="120" w:after="120" w:line="240" w:lineRule="auto"/>
    </w:pPr>
    <w:rPr>
      <w:rFonts w:ascii="Arial" w:hAnsi="Arial" w:eastAsia="Times New Roman" w:cs="Times New Roman"/>
      <w:sz w:val="20"/>
      <w:szCs w:val="20"/>
      <w:lang w:val="en-GB"/>
    </w:rPr>
  </w:style>
  <w:style w:type="character" w:customStyle="1" w:styleId="20">
    <w:name w:val="Header Char"/>
    <w:basedOn w:val="4"/>
    <w:link w:val="13"/>
    <w:qFormat/>
    <w:uiPriority w:val="99"/>
  </w:style>
  <w:style w:type="character" w:customStyle="1" w:styleId="21">
    <w:name w:val="Footer Char"/>
    <w:basedOn w:val="4"/>
    <w:link w:val="12"/>
    <w:qFormat/>
    <w:uiPriority w:val="0"/>
  </w:style>
  <w:style w:type="character" w:customStyle="1" w:styleId="22">
    <w:name w:val="Balloon Text Char"/>
    <w:basedOn w:val="4"/>
    <w:link w:val="6"/>
    <w:semiHidden/>
    <w:qFormat/>
    <w:uiPriority w:val="99"/>
    <w:rPr>
      <w:rFonts w:ascii="Tahoma" w:hAnsi="Tahoma" w:cs="Tahoma"/>
      <w:sz w:val="16"/>
      <w:szCs w:val="16"/>
    </w:rPr>
  </w:style>
  <w:style w:type="character" w:customStyle="1" w:styleId="23">
    <w:name w:val="Heading 4 Char"/>
    <w:basedOn w:val="4"/>
    <w:link w:val="3"/>
    <w:semiHidden/>
    <w:qFormat/>
    <w:uiPriority w:val="9"/>
    <w:rPr>
      <w:rFonts w:asciiTheme="majorHAnsi" w:hAnsiTheme="majorHAnsi" w:eastAsiaTheme="majorEastAsia" w:cstheme="majorBidi"/>
      <w:b/>
      <w:bCs/>
      <w:i/>
      <w:iCs/>
      <w:color w:val="4F81BD" w:themeColor="accent1"/>
    </w:rPr>
  </w:style>
  <w:style w:type="character" w:customStyle="1" w:styleId="24">
    <w:name w:val="Body Text 2 Char"/>
    <w:basedOn w:val="4"/>
    <w:link w:val="7"/>
    <w:qFormat/>
    <w:uiPriority w:val="0"/>
    <w:rPr>
      <w:rFonts w:ascii="Times New Roman" w:hAnsi="Times New Roman" w:eastAsia="Times New Roman" w:cs="Times New Roman"/>
      <w:b/>
      <w:i/>
      <w:sz w:val="24"/>
      <w:szCs w:val="20"/>
    </w:rPr>
  </w:style>
  <w:style w:type="character" w:customStyle="1" w:styleId="25">
    <w:name w:val="Comment Text Char"/>
    <w:basedOn w:val="4"/>
    <w:link w:val="10"/>
    <w:semiHidden/>
    <w:qFormat/>
    <w:uiPriority w:val="0"/>
    <w:rPr>
      <w:rFonts w:ascii="Times New Roman" w:hAnsi="Times New Roman" w:eastAsia="Times New Roman" w:cs="Times New Roman"/>
      <w:sz w:val="20"/>
      <w:szCs w:val="20"/>
    </w:rPr>
  </w:style>
  <w:style w:type="character" w:customStyle="1" w:styleId="26">
    <w:name w:val="Comment Subject Char"/>
    <w:basedOn w:val="25"/>
    <w:link w:val="11"/>
    <w:semiHidden/>
    <w:qFormat/>
    <w:uiPriority w:val="99"/>
    <w:rPr>
      <w:rFonts w:ascii="Times New Roman" w:hAnsi="Times New Roman" w:eastAsia="Times New Roman" w:cs="Times New Roman"/>
      <w:b/>
      <w:bCs/>
      <w:sz w:val="20"/>
      <w:szCs w:val="20"/>
    </w:rPr>
  </w:style>
  <w:style w:type="character" w:styleId="27">
    <w:name w:val="Placeholder Text"/>
    <w:basedOn w:val="4"/>
    <w:semiHidden/>
    <w:qFormat/>
    <w:uiPriority w:val="99"/>
    <w:rPr>
      <w:color w:val="808080"/>
    </w:rPr>
  </w:style>
  <w:style w:type="character" w:customStyle="1" w:styleId="28">
    <w:name w:val="Body Text Indent Char"/>
    <w:basedOn w:val="4"/>
    <w:link w:val="8"/>
    <w:semiHidden/>
    <w:qFormat/>
    <w:uiPriority w:val="99"/>
  </w:style>
  <w:style w:type="paragraph" w:customStyle="1" w:styleId="29">
    <w:name w:val="1hang5"/>
    <w:basedOn w:val="1"/>
    <w:qFormat/>
    <w:uiPriority w:val="0"/>
    <w:pPr>
      <w:tabs>
        <w:tab w:val="left" w:pos="-90"/>
        <w:tab w:val="left" w:pos="0"/>
      </w:tabs>
      <w:ind w:left="2160" w:hanging="720"/>
      <w:jc w:val="both"/>
    </w:pPr>
    <w:rPr>
      <w:rFonts w:ascii="Times New Roman" w:hAnsi="Times New Roman" w:eastAsia="Times New Roman" w:cs="Times New Roman"/>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28EED-8D17-4AA7-83BF-C5C2E12871EF}">
  <ds:schemaRefs/>
</ds:datastoreItem>
</file>

<file path=docProps/app.xml><?xml version="1.0" encoding="utf-8"?>
<Properties xmlns="http://schemas.openxmlformats.org/officeDocument/2006/extended-properties" xmlns:vt="http://schemas.openxmlformats.org/officeDocument/2006/docPropsVTypes">
  <Template>Normal</Template>
  <Company>Discovery</Company>
  <Pages>1</Pages>
  <Words>1388</Words>
  <Characters>7917</Characters>
  <Lines>65</Lines>
  <Paragraphs>18</Paragraphs>
  <TotalTime>22</TotalTime>
  <ScaleCrop>false</ScaleCrop>
  <LinksUpToDate>false</LinksUpToDate>
  <CharactersWithSpaces>9287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2016-10-28T10:22:00Z</dcterms:created>
  <dc:creator>Sathish</dc:creator>
  <cp:lastModifiedBy>QA- Discovery</cp:lastModifiedBy>
  <cp:lastPrinted>2020-02-08T09:56:00Z</cp:lastPrinted>
  <dcterms:modified xsi:type="dcterms:W3CDTF">2022-02-24T08:46:42Z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F38E81397CE649C088CFCEE3AF9B3E07</vt:lpwstr>
  </property>
</Properties>
</file>