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PURPOSE:</w:t>
      </w:r>
      <w:r w:rsidRPr="00B00137">
        <w:rPr>
          <w:color w:val="000000" w:themeColor="text1"/>
        </w:rPr>
        <w:t xml:space="preserve"> </w:t>
      </w:r>
    </w:p>
    <w:p w:rsidR="00B81CAD" w:rsidRDefault="00B81CAD" w:rsidP="003B4EBC">
      <w:pPr>
        <w:spacing w:line="360" w:lineRule="auto"/>
        <w:ind w:right="-108"/>
        <w:jc w:val="both"/>
        <w:rPr>
          <w:color w:val="000000"/>
        </w:rPr>
      </w:pPr>
      <w:r w:rsidRPr="00B81CAD">
        <w:rPr>
          <w:color w:val="000000"/>
        </w:rPr>
        <w:t xml:space="preserve">To lay down the procedure for </w:t>
      </w:r>
      <w:r w:rsidR="008E09D2" w:rsidRPr="00B81CAD">
        <w:rPr>
          <w:color w:val="000000"/>
        </w:rPr>
        <w:t>R</w:t>
      </w:r>
      <w:r w:rsidR="008E09D2">
        <w:rPr>
          <w:color w:val="000000"/>
        </w:rPr>
        <w:t>eprocess or</w:t>
      </w:r>
      <w:r w:rsidRPr="00B81CAD">
        <w:rPr>
          <w:color w:val="000000"/>
        </w:rPr>
        <w:t xml:space="preserve"> </w:t>
      </w:r>
      <w:r w:rsidR="008E09D2" w:rsidRPr="00B81CAD">
        <w:rPr>
          <w:color w:val="000000"/>
        </w:rPr>
        <w:t>R</w:t>
      </w:r>
      <w:r w:rsidRPr="00B81CAD">
        <w:rPr>
          <w:color w:val="000000"/>
        </w:rPr>
        <w:t>ework of Intermediate and Active Pharmaceutical Ingredients (APIs)</w:t>
      </w:r>
      <w:r>
        <w:rPr>
          <w:color w:val="000000"/>
        </w:rPr>
        <w:t>.</w:t>
      </w:r>
    </w:p>
    <w:p w:rsidR="00530280" w:rsidRPr="00B00137" w:rsidRDefault="00530280" w:rsidP="0004260C">
      <w:pPr>
        <w:numPr>
          <w:ilvl w:val="0"/>
          <w:numId w:val="2"/>
        </w:numPr>
        <w:tabs>
          <w:tab w:val="clear" w:pos="720"/>
        </w:tabs>
        <w:spacing w:line="360" w:lineRule="auto"/>
        <w:ind w:left="-225" w:right="-315" w:hanging="288"/>
        <w:jc w:val="both"/>
        <w:rPr>
          <w:color w:val="000000" w:themeColor="text1"/>
        </w:rPr>
      </w:pPr>
      <w:r w:rsidRPr="00B00137">
        <w:rPr>
          <w:b/>
          <w:color w:val="000000" w:themeColor="text1"/>
        </w:rPr>
        <w:t>SCOPE:</w:t>
      </w:r>
      <w:r w:rsidRPr="00B00137">
        <w:rPr>
          <w:color w:val="000000" w:themeColor="text1"/>
        </w:rPr>
        <w:t xml:space="preserve"> </w:t>
      </w:r>
    </w:p>
    <w:p w:rsidR="00B81CAD" w:rsidRPr="003B4EBC" w:rsidRDefault="00B81CAD" w:rsidP="003B4EBC">
      <w:pPr>
        <w:spacing w:line="360" w:lineRule="auto"/>
        <w:ind w:right="-108"/>
        <w:jc w:val="both"/>
        <w:rPr>
          <w:color w:val="000000"/>
        </w:rPr>
      </w:pPr>
      <w:r w:rsidRPr="00986457">
        <w:t xml:space="preserve">The procedure in this SOP is applicable for </w:t>
      </w:r>
      <w:r w:rsidR="008E09D2">
        <w:t>R</w:t>
      </w:r>
      <w:r>
        <w:t xml:space="preserve">eprocess </w:t>
      </w:r>
      <w:r w:rsidR="008E09D2">
        <w:t>or</w:t>
      </w:r>
      <w:r>
        <w:t xml:space="preserve"> </w:t>
      </w:r>
      <w:r w:rsidR="008E09D2">
        <w:t>R</w:t>
      </w:r>
      <w:r>
        <w:t>ework of</w:t>
      </w:r>
      <w:r w:rsidRPr="00986457">
        <w:t xml:space="preserve"> intermediates </w:t>
      </w:r>
      <w:r>
        <w:t>and APIs, which fails to meet the pre-defined specification at Discovery</w:t>
      </w:r>
      <w:r w:rsidR="008E09D2">
        <w:t xml:space="preserve"> Laboratories </w:t>
      </w:r>
      <w:r w:rsidR="00933B5E">
        <w:t>P</w:t>
      </w:r>
      <w:r w:rsidR="008E09D2">
        <w:t>vt.</w:t>
      </w:r>
      <w:r w:rsidR="00933B5E">
        <w:t xml:space="preserve"> Ltd</w:t>
      </w:r>
      <w:r w:rsidR="00604FFF">
        <w:t>.</w:t>
      </w:r>
      <w:r>
        <w:t xml:space="preserve"> </w:t>
      </w:r>
    </w:p>
    <w:p w:rsidR="00530280" w:rsidRPr="00B00137" w:rsidRDefault="00530280" w:rsidP="0004260C">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RESPONSIBILITY:</w:t>
      </w:r>
    </w:p>
    <w:p w:rsidR="009751A5" w:rsidRPr="00CF1F81" w:rsidRDefault="009751A5" w:rsidP="00CF1F81">
      <w:pPr>
        <w:numPr>
          <w:ilvl w:val="1"/>
          <w:numId w:val="2"/>
        </w:numPr>
        <w:tabs>
          <w:tab w:val="clear" w:pos="720"/>
          <w:tab w:val="num" w:pos="450"/>
          <w:tab w:val="num" w:pos="1440"/>
        </w:tabs>
        <w:spacing w:line="360" w:lineRule="auto"/>
        <w:ind w:left="450" w:right="-117" w:hanging="450"/>
        <w:jc w:val="both"/>
      </w:pPr>
      <w:r w:rsidRPr="00CF1F81">
        <w:t xml:space="preserve">Head-Production/ Designee </w:t>
      </w:r>
      <w:r w:rsidR="001D430B" w:rsidRPr="00CF1F81">
        <w:t>are</w:t>
      </w:r>
      <w:r w:rsidRPr="00CF1F81">
        <w:t xml:space="preserve"> responsible to carry out the </w:t>
      </w:r>
      <w:r w:rsidR="008E09D2" w:rsidRPr="00CF1F81">
        <w:t>R</w:t>
      </w:r>
      <w:r w:rsidRPr="00CF1F81">
        <w:t xml:space="preserve">eprocess or </w:t>
      </w:r>
      <w:r w:rsidR="008E09D2" w:rsidRPr="00CF1F81">
        <w:t>R</w:t>
      </w:r>
      <w:r w:rsidRPr="00CF1F81">
        <w:t>ework procedure.</w:t>
      </w:r>
    </w:p>
    <w:p w:rsidR="009751A5" w:rsidRPr="00CF1F81" w:rsidRDefault="009751A5" w:rsidP="00CF1F81">
      <w:pPr>
        <w:numPr>
          <w:ilvl w:val="1"/>
          <w:numId w:val="2"/>
        </w:numPr>
        <w:tabs>
          <w:tab w:val="clear" w:pos="720"/>
          <w:tab w:val="num" w:pos="450"/>
          <w:tab w:val="num" w:pos="1440"/>
        </w:tabs>
        <w:spacing w:line="360" w:lineRule="auto"/>
        <w:ind w:left="450" w:right="-117" w:hanging="450"/>
        <w:jc w:val="both"/>
      </w:pPr>
      <w:r w:rsidRPr="00CF1F81">
        <w:t xml:space="preserve">Head-R&amp;D/ Designee </w:t>
      </w:r>
      <w:r w:rsidR="001D430B" w:rsidRPr="00CF1F81">
        <w:t>are</w:t>
      </w:r>
      <w:r w:rsidRPr="00CF1F81">
        <w:t xml:space="preserve"> responsible to provide the </w:t>
      </w:r>
      <w:r w:rsidR="008E09D2" w:rsidRPr="00CF1F81">
        <w:t>R</w:t>
      </w:r>
      <w:r w:rsidRPr="00CF1F81">
        <w:t xml:space="preserve">eprocess or </w:t>
      </w:r>
      <w:r w:rsidR="008E09D2" w:rsidRPr="00CF1F81">
        <w:t>R</w:t>
      </w:r>
      <w:r w:rsidRPr="00CF1F81">
        <w:t>ework procedure based on the laboratory experiments.</w:t>
      </w:r>
    </w:p>
    <w:p w:rsidR="009751A5" w:rsidRPr="00CF1F81" w:rsidRDefault="009751A5" w:rsidP="00CF1F81">
      <w:pPr>
        <w:numPr>
          <w:ilvl w:val="1"/>
          <w:numId w:val="2"/>
        </w:numPr>
        <w:tabs>
          <w:tab w:val="clear" w:pos="720"/>
          <w:tab w:val="num" w:pos="450"/>
          <w:tab w:val="num" w:pos="1440"/>
        </w:tabs>
        <w:spacing w:line="360" w:lineRule="auto"/>
        <w:ind w:left="450" w:right="-117" w:hanging="450"/>
        <w:jc w:val="both"/>
      </w:pPr>
      <w:r w:rsidRPr="00CF1F81">
        <w:t>Head – QA/ Designee is responsible for approve the procedure.</w:t>
      </w:r>
    </w:p>
    <w:p w:rsidR="003B4EBC" w:rsidRPr="003B4EBC" w:rsidRDefault="003B4EBC" w:rsidP="003B4EBC">
      <w:pPr>
        <w:numPr>
          <w:ilvl w:val="0"/>
          <w:numId w:val="2"/>
        </w:numPr>
        <w:tabs>
          <w:tab w:val="clear" w:pos="720"/>
        </w:tabs>
        <w:spacing w:line="360" w:lineRule="auto"/>
        <w:ind w:left="-225" w:right="-315" w:hanging="288"/>
        <w:jc w:val="both"/>
        <w:rPr>
          <w:b/>
          <w:color w:val="000000" w:themeColor="text1"/>
        </w:rPr>
      </w:pPr>
      <w:r w:rsidRPr="00B00137">
        <w:rPr>
          <w:b/>
          <w:caps/>
          <w:color w:val="000000" w:themeColor="text1"/>
        </w:rPr>
        <w:t>Definitions</w:t>
      </w:r>
      <w:r>
        <w:rPr>
          <w:b/>
          <w:caps/>
          <w:color w:val="000000" w:themeColor="text1"/>
        </w:rPr>
        <w:t>:</w:t>
      </w:r>
    </w:p>
    <w:p w:rsidR="00252616" w:rsidRPr="00252616" w:rsidRDefault="00252616" w:rsidP="008E09D2">
      <w:pPr>
        <w:numPr>
          <w:ilvl w:val="1"/>
          <w:numId w:val="2"/>
        </w:numPr>
        <w:tabs>
          <w:tab w:val="clear" w:pos="720"/>
          <w:tab w:val="num" w:pos="450"/>
          <w:tab w:val="num" w:pos="1440"/>
        </w:tabs>
        <w:spacing w:line="360" w:lineRule="auto"/>
        <w:ind w:left="450" w:right="-117" w:hanging="450"/>
        <w:rPr>
          <w:b/>
          <w:color w:val="000000" w:themeColor="text1"/>
        </w:rPr>
      </w:pPr>
      <w:r w:rsidRPr="009D519C">
        <w:rPr>
          <w:b/>
        </w:rPr>
        <w:t xml:space="preserve">Reprocessing: </w:t>
      </w:r>
      <w:r w:rsidRPr="00C14D44">
        <w:t>Introducing an intermediate or API, including one that does not conform to standards or specifications, back into the process and repeating a crystallization step or other appropriate chemical or phy</w:t>
      </w:r>
      <w:r w:rsidR="008E09D2">
        <w:t>sical manipulation steps (e.g.: D</w:t>
      </w:r>
      <w:r w:rsidRPr="00C14D44">
        <w:t xml:space="preserve">istillation, </w:t>
      </w:r>
      <w:r w:rsidR="008E09D2" w:rsidRPr="00C14D44">
        <w:t>F</w:t>
      </w:r>
      <w:r w:rsidRPr="00C14D44">
        <w:t xml:space="preserve">iltration, </w:t>
      </w:r>
      <w:r w:rsidR="008E09D2" w:rsidRPr="00C14D44">
        <w:t>C</w:t>
      </w:r>
      <w:r w:rsidRPr="00C14D44">
        <w:t>hromatography</w:t>
      </w:r>
      <w:r>
        <w:t xml:space="preserve"> and </w:t>
      </w:r>
      <w:r w:rsidR="008E09D2" w:rsidRPr="00C14D44">
        <w:t>M</w:t>
      </w:r>
      <w:r w:rsidRPr="00C14D44">
        <w:t>illing) that are part of the established manufacturing process</w:t>
      </w:r>
      <w:r>
        <w:t>.</w:t>
      </w:r>
    </w:p>
    <w:p w:rsidR="00252616" w:rsidRPr="00CF1F81" w:rsidRDefault="00252616" w:rsidP="00CF1F81">
      <w:pPr>
        <w:numPr>
          <w:ilvl w:val="1"/>
          <w:numId w:val="2"/>
        </w:numPr>
        <w:tabs>
          <w:tab w:val="clear" w:pos="720"/>
          <w:tab w:val="num" w:pos="450"/>
          <w:tab w:val="num" w:pos="1440"/>
        </w:tabs>
        <w:spacing w:line="360" w:lineRule="auto"/>
        <w:ind w:left="450" w:right="-117" w:hanging="450"/>
        <w:jc w:val="both"/>
        <w:rPr>
          <w:b/>
        </w:rPr>
      </w:pPr>
      <w:r w:rsidRPr="009D519C">
        <w:rPr>
          <w:b/>
        </w:rPr>
        <w:t xml:space="preserve">Reworking: </w:t>
      </w:r>
      <w:r w:rsidRPr="00CF1F81">
        <w:t>Subjecting an intermediate or API that does not conform to  standards or specifications to one or more processing steps that are different from the established manufacturing process to obtain acceptable quality  intermediate or API( e.g.: Re</w:t>
      </w:r>
      <w:r w:rsidR="001F6873" w:rsidRPr="00CF1F81">
        <w:t>-</w:t>
      </w:r>
      <w:r w:rsidRPr="00CF1F81">
        <w:t>crystallizing with a different solvent).</w:t>
      </w:r>
    </w:p>
    <w:p w:rsidR="004F6097" w:rsidRPr="00B00137" w:rsidRDefault="004F6097" w:rsidP="003D2598">
      <w:pPr>
        <w:numPr>
          <w:ilvl w:val="0"/>
          <w:numId w:val="2"/>
        </w:numPr>
        <w:tabs>
          <w:tab w:val="clear" w:pos="720"/>
        </w:tabs>
        <w:spacing w:line="360" w:lineRule="auto"/>
        <w:ind w:left="-225" w:right="-315" w:hanging="288"/>
        <w:jc w:val="both"/>
        <w:rPr>
          <w:b/>
          <w:color w:val="000000" w:themeColor="text1"/>
        </w:rPr>
      </w:pPr>
      <w:r w:rsidRPr="00B00137">
        <w:rPr>
          <w:b/>
          <w:color w:val="000000" w:themeColor="text1"/>
        </w:rPr>
        <w:t>PROCEDURE :</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t xml:space="preserve">Intermediate or API, which fails to comply with pre-defined specification shall be subjected for </w:t>
      </w:r>
      <w:r w:rsidR="008E09D2">
        <w:t>R</w:t>
      </w:r>
      <w:r>
        <w:t xml:space="preserve">eprocess or </w:t>
      </w:r>
      <w:r w:rsidR="008E09D2">
        <w:t>Rework</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t xml:space="preserve">Material to be </w:t>
      </w:r>
      <w:r w:rsidR="008E09D2">
        <w:t>R</w:t>
      </w:r>
      <w:r>
        <w:t xml:space="preserve">eprocessed or </w:t>
      </w:r>
      <w:r w:rsidR="008E09D2">
        <w:t>R</w:t>
      </w:r>
      <w:r>
        <w:t>ework shall be appropriately controlled to prevent unauthorized use.</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lastRenderedPageBreak/>
        <w:t>If the batch is taken for reprocess or rework, the same shall be investigated thoroughly to find out the root cause for non conformance before reprocess/rework or otherwise justified. The details shall be documented.</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With the conclusions drawn from the experiments, R&amp;D shall submit the reprocess / rework procedure along with a report on yield and quality</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Quality Assurance shall review the data generated from the R&amp;D experiments and shall give the clearance to production department for preparation of BPR by addressing through Change Control</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t>The reprocess or rework shall be carried out as per approved BPR.</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t>If reprocess procedure is used for majority of batches for the similar reason of failure, such reprocessing procedure shall be included as part of the standard manufacturing process.</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Quality equivalence shall be evaluated for rework batches and compare with established process. If required, additional tests shall be performed and data shall be compared</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The rework batch may need to be subjected to concurrent validation</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Additional analytical methods shall be followed to characterize the rework batches, if routine methods are inadequate</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The analytical results of Reprocess batches should comply with the established specifications (e.g., Assay, physical attributes, and impurities) and be comparable with the batches manufactured by validated process</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5B1BD9">
        <w:t>The reprocessed / reworked batches shall be evaluated for stability</w:t>
      </w:r>
      <w:r>
        <w:t>.</w:t>
      </w:r>
    </w:p>
    <w:p w:rsidR="00830D33" w:rsidRPr="00D373D7" w:rsidRDefault="00830D33" w:rsidP="00D373D7">
      <w:pPr>
        <w:numPr>
          <w:ilvl w:val="1"/>
          <w:numId w:val="2"/>
        </w:numPr>
        <w:tabs>
          <w:tab w:val="clear" w:pos="720"/>
          <w:tab w:val="num" w:pos="450"/>
          <w:tab w:val="num" w:pos="1440"/>
        </w:tabs>
        <w:spacing w:line="360" w:lineRule="auto"/>
        <w:ind w:left="450" w:right="-117" w:hanging="450"/>
        <w:jc w:val="both"/>
      </w:pPr>
      <w:r w:rsidRPr="004E6508">
        <w:t>The first reprocessed batch shall be subjected to the stability studies as follows</w:t>
      </w:r>
      <w:r>
        <w:t>:</w:t>
      </w:r>
    </w:p>
    <w:p w:rsidR="00830D33" w:rsidRPr="000D7D87" w:rsidRDefault="00830D33" w:rsidP="00D373D7">
      <w:pPr>
        <w:numPr>
          <w:ilvl w:val="2"/>
          <w:numId w:val="2"/>
        </w:numPr>
        <w:tabs>
          <w:tab w:val="clear" w:pos="2160"/>
          <w:tab w:val="num" w:pos="1305"/>
        </w:tabs>
        <w:spacing w:line="360" w:lineRule="auto"/>
        <w:ind w:left="1287" w:right="-108" w:hanging="837"/>
        <w:jc w:val="both"/>
        <w:rPr>
          <w:b/>
        </w:rPr>
      </w:pPr>
      <w:r>
        <w:t xml:space="preserve">For final stage of API, stability study shall be initiated at accelerated and </w:t>
      </w:r>
      <w:r w:rsidR="00A915BD">
        <w:t>long</w:t>
      </w:r>
      <w:r>
        <w:t xml:space="preserve"> term storage conditions.</w:t>
      </w:r>
    </w:p>
    <w:p w:rsidR="00830D33" w:rsidRPr="00830D33" w:rsidRDefault="00830D33" w:rsidP="00D373D7">
      <w:pPr>
        <w:numPr>
          <w:ilvl w:val="2"/>
          <w:numId w:val="2"/>
        </w:numPr>
        <w:tabs>
          <w:tab w:val="clear" w:pos="2160"/>
          <w:tab w:val="num" w:pos="1305"/>
        </w:tabs>
        <w:spacing w:line="360" w:lineRule="auto"/>
        <w:ind w:left="1287" w:right="-108" w:hanging="837"/>
        <w:jc w:val="both"/>
        <w:rPr>
          <w:b/>
        </w:rPr>
      </w:pPr>
      <w:r>
        <w:lastRenderedPageBreak/>
        <w:t>If early stages of the API are subjected for reprocess, the corresponding API batch shall be loaded for stability study at accelerated condition and any other condition based on the investigation report.</w:t>
      </w:r>
    </w:p>
    <w:p w:rsidR="00830D33" w:rsidRPr="000D7D87" w:rsidRDefault="00830D33" w:rsidP="00D373D7">
      <w:pPr>
        <w:numPr>
          <w:ilvl w:val="1"/>
          <w:numId w:val="2"/>
        </w:numPr>
        <w:tabs>
          <w:tab w:val="clear" w:pos="720"/>
          <w:tab w:val="num" w:pos="450"/>
          <w:tab w:val="num" w:pos="1440"/>
        </w:tabs>
        <w:spacing w:line="360" w:lineRule="auto"/>
        <w:ind w:left="450" w:right="-117" w:hanging="450"/>
        <w:jc w:val="both"/>
        <w:rPr>
          <w:b/>
        </w:rPr>
      </w:pPr>
      <w:r w:rsidRPr="004E6508">
        <w:t>The rework batches shall be subjected to stability studies as follows</w:t>
      </w:r>
      <w:r>
        <w:t>:</w:t>
      </w:r>
    </w:p>
    <w:p w:rsidR="00830D33" w:rsidRPr="00D373D7" w:rsidRDefault="00830D33" w:rsidP="00D373D7">
      <w:pPr>
        <w:numPr>
          <w:ilvl w:val="2"/>
          <w:numId w:val="2"/>
        </w:numPr>
        <w:tabs>
          <w:tab w:val="clear" w:pos="2160"/>
          <w:tab w:val="num" w:pos="1305"/>
        </w:tabs>
        <w:spacing w:line="360" w:lineRule="auto"/>
        <w:ind w:left="1287" w:right="-108" w:hanging="837"/>
        <w:jc w:val="both"/>
      </w:pPr>
      <w:r>
        <w:t xml:space="preserve">For final stage of API, stability study shall be initiated at accelerated and </w:t>
      </w:r>
      <w:r w:rsidR="00A915BD">
        <w:t>long</w:t>
      </w:r>
      <w:r>
        <w:t xml:space="preserve"> term storage conditions.</w:t>
      </w:r>
    </w:p>
    <w:p w:rsidR="00830D33" w:rsidRPr="00D373D7" w:rsidRDefault="00830D33" w:rsidP="00D373D7">
      <w:pPr>
        <w:numPr>
          <w:ilvl w:val="2"/>
          <w:numId w:val="2"/>
        </w:numPr>
        <w:tabs>
          <w:tab w:val="clear" w:pos="2160"/>
          <w:tab w:val="num" w:pos="1305"/>
        </w:tabs>
        <w:spacing w:line="360" w:lineRule="auto"/>
        <w:ind w:left="1287" w:right="-108" w:hanging="837"/>
        <w:jc w:val="both"/>
      </w:pPr>
      <w:r>
        <w:t>If early stages of API are subjected to rework, the corresponding API batch shall be loaded for stability at accelerated condition and any other condition based on the investigation report.</w:t>
      </w:r>
    </w:p>
    <w:p w:rsidR="00830D33" w:rsidRPr="00D373D7" w:rsidRDefault="00830D33" w:rsidP="00D373D7">
      <w:pPr>
        <w:numPr>
          <w:ilvl w:val="2"/>
          <w:numId w:val="2"/>
        </w:numPr>
        <w:tabs>
          <w:tab w:val="clear" w:pos="2160"/>
          <w:tab w:val="num" w:pos="1305"/>
        </w:tabs>
        <w:spacing w:line="360" w:lineRule="auto"/>
        <w:ind w:left="1287" w:right="-108" w:hanging="837"/>
        <w:jc w:val="both"/>
      </w:pPr>
      <w:r>
        <w:t>After successful completion of six months accelerated stability study, rework batch can be released to market.</w:t>
      </w:r>
    </w:p>
    <w:p w:rsidR="00830D33" w:rsidRPr="00D373D7" w:rsidRDefault="00830D33" w:rsidP="00D373D7">
      <w:pPr>
        <w:numPr>
          <w:ilvl w:val="2"/>
          <w:numId w:val="2"/>
        </w:numPr>
        <w:tabs>
          <w:tab w:val="clear" w:pos="2160"/>
          <w:tab w:val="num" w:pos="1305"/>
        </w:tabs>
        <w:spacing w:line="360" w:lineRule="auto"/>
        <w:ind w:left="1287" w:right="-108" w:hanging="837"/>
        <w:jc w:val="both"/>
      </w:pPr>
      <w:r>
        <w:t>In case, further batches manufactured with same rework procedure, these batches can be released based on the first batch stability data.</w:t>
      </w:r>
    </w:p>
    <w:p w:rsidR="00830D33" w:rsidRPr="00D373D7" w:rsidRDefault="00830D33" w:rsidP="00D373D7">
      <w:pPr>
        <w:numPr>
          <w:ilvl w:val="2"/>
          <w:numId w:val="2"/>
        </w:numPr>
        <w:tabs>
          <w:tab w:val="clear" w:pos="2160"/>
          <w:tab w:val="num" w:pos="1305"/>
        </w:tabs>
        <w:spacing w:line="360" w:lineRule="auto"/>
        <w:ind w:left="1287" w:right="-108" w:hanging="837"/>
        <w:jc w:val="both"/>
      </w:pPr>
      <w:r>
        <w:t>The details of reprocess and rework shall be reviewed annually as a part of A</w:t>
      </w:r>
      <w:r w:rsidRPr="00A86FC3">
        <w:t xml:space="preserve">nnual </w:t>
      </w:r>
      <w:r>
        <w:t>P</w:t>
      </w:r>
      <w:r w:rsidRPr="00A86FC3">
        <w:t xml:space="preserve">roduct </w:t>
      </w:r>
      <w:r>
        <w:t>Q</w:t>
      </w:r>
      <w:r w:rsidRPr="00A86FC3">
        <w:t xml:space="preserve">uality </w:t>
      </w:r>
      <w:r>
        <w:t>R</w:t>
      </w:r>
      <w:r w:rsidRPr="00A86FC3">
        <w:t>eview</w:t>
      </w:r>
      <w:r>
        <w:t>.</w:t>
      </w:r>
    </w:p>
    <w:p w:rsidR="00830D33" w:rsidRPr="00D373D7" w:rsidRDefault="00830D33" w:rsidP="00D373D7">
      <w:pPr>
        <w:numPr>
          <w:ilvl w:val="2"/>
          <w:numId w:val="2"/>
        </w:numPr>
        <w:tabs>
          <w:tab w:val="clear" w:pos="2160"/>
          <w:tab w:val="num" w:pos="1305"/>
        </w:tabs>
        <w:spacing w:line="360" w:lineRule="auto"/>
        <w:ind w:left="1287" w:right="-108" w:hanging="837"/>
        <w:jc w:val="both"/>
      </w:pPr>
      <w:r>
        <w:t>Further Reprocessing / Reworking of Reprocessed / Reworked batch shall not be recommended.</w:t>
      </w:r>
    </w:p>
    <w:p w:rsidR="004F6097" w:rsidRPr="00B00137" w:rsidRDefault="004F6097" w:rsidP="00F50A10">
      <w:pPr>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Formats</w:t>
      </w:r>
      <w:r w:rsidR="001C5363">
        <w:rPr>
          <w:b/>
          <w:caps/>
          <w:color w:val="000000" w:themeColor="text1"/>
        </w:rPr>
        <w:t xml:space="preserve"> / annexure(S)</w:t>
      </w:r>
      <w:r w:rsidRPr="00B00137">
        <w:rPr>
          <w:b/>
          <w:caps/>
          <w:color w:val="000000" w:themeColor="text1"/>
        </w:rPr>
        <w:t>:</w:t>
      </w:r>
    </w:p>
    <w:p w:rsidR="00830D33" w:rsidRDefault="00830D33" w:rsidP="00830D33">
      <w:pPr>
        <w:tabs>
          <w:tab w:val="left" w:pos="630"/>
          <w:tab w:val="num" w:pos="720"/>
          <w:tab w:val="left" w:pos="1053"/>
        </w:tabs>
        <w:spacing w:line="360" w:lineRule="auto"/>
        <w:jc w:val="both"/>
        <w:rPr>
          <w:color w:val="000000"/>
        </w:rPr>
      </w:pPr>
      <w:r>
        <w:rPr>
          <w:color w:val="000000"/>
        </w:rPr>
        <w:t>NIL</w:t>
      </w:r>
    </w:p>
    <w:p w:rsidR="00AE14EB" w:rsidRPr="00B00137" w:rsidRDefault="004F6097" w:rsidP="00F50A10">
      <w:pPr>
        <w:numPr>
          <w:ilvl w:val="0"/>
          <w:numId w:val="2"/>
        </w:numPr>
        <w:tabs>
          <w:tab w:val="clear" w:pos="720"/>
        </w:tabs>
        <w:spacing w:line="360" w:lineRule="auto"/>
        <w:ind w:left="-225" w:right="-315" w:hanging="288"/>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152" w:type="dxa"/>
        <w:tblInd w:w="-405" w:type="dxa"/>
        <w:tblLayout w:type="fixed"/>
        <w:tblLook w:val="04A0"/>
      </w:tblPr>
      <w:tblGrid>
        <w:gridCol w:w="1179"/>
        <w:gridCol w:w="1460"/>
        <w:gridCol w:w="5972"/>
        <w:gridCol w:w="1541"/>
      </w:tblGrid>
      <w:tr w:rsidR="00984FC2" w:rsidRPr="00B00137" w:rsidTr="001C24B0">
        <w:trPr>
          <w:trHeight w:val="374"/>
          <w:tblHeader/>
        </w:trPr>
        <w:tc>
          <w:tcPr>
            <w:tcW w:w="1170" w:type="dxa"/>
            <w:vAlign w:val="center"/>
          </w:tcPr>
          <w:p w:rsidR="00984FC2" w:rsidRPr="00B00137" w:rsidRDefault="00984FC2" w:rsidP="007D3F91">
            <w:pPr>
              <w:jc w:val="center"/>
              <w:rPr>
                <w:b/>
                <w:color w:val="000000" w:themeColor="text1"/>
              </w:rPr>
            </w:pPr>
            <w:r w:rsidRPr="00B00137">
              <w:rPr>
                <w:b/>
                <w:color w:val="000000" w:themeColor="text1"/>
              </w:rPr>
              <w:t>Revision No.</w:t>
            </w:r>
          </w:p>
        </w:tc>
        <w:tc>
          <w:tcPr>
            <w:tcW w:w="1450" w:type="dxa"/>
            <w:vAlign w:val="center"/>
          </w:tcPr>
          <w:p w:rsidR="00984FC2" w:rsidRPr="00B00137" w:rsidRDefault="00984FC2" w:rsidP="007D3F91">
            <w:pPr>
              <w:jc w:val="center"/>
              <w:rPr>
                <w:color w:val="000000" w:themeColor="text1"/>
              </w:rPr>
            </w:pPr>
            <w:r w:rsidRPr="00B00137">
              <w:rPr>
                <w:b/>
                <w:color w:val="000000" w:themeColor="text1"/>
              </w:rPr>
              <w:t>Effective Date</w:t>
            </w:r>
          </w:p>
        </w:tc>
        <w:tc>
          <w:tcPr>
            <w:tcW w:w="5930" w:type="dxa"/>
            <w:vAlign w:val="center"/>
          </w:tcPr>
          <w:p w:rsidR="00984FC2" w:rsidRPr="00B00137" w:rsidRDefault="00984FC2" w:rsidP="007D3F91">
            <w:pPr>
              <w:rPr>
                <w:color w:val="000000" w:themeColor="text1"/>
              </w:rPr>
            </w:pPr>
            <w:r w:rsidRPr="00B00137">
              <w:rPr>
                <w:b/>
                <w:color w:val="000000" w:themeColor="text1"/>
              </w:rPr>
              <w:t>Details of Revision</w:t>
            </w:r>
          </w:p>
        </w:tc>
        <w:tc>
          <w:tcPr>
            <w:tcW w:w="1530" w:type="dxa"/>
            <w:vAlign w:val="center"/>
          </w:tcPr>
          <w:p w:rsidR="00984FC2" w:rsidRPr="00B00137" w:rsidRDefault="00984FC2" w:rsidP="007E75DE">
            <w:pPr>
              <w:jc w:val="center"/>
              <w:rPr>
                <w:b/>
                <w:color w:val="000000" w:themeColor="text1"/>
              </w:rPr>
            </w:pPr>
            <w:r w:rsidRPr="007D3F91">
              <w:rPr>
                <w:b/>
                <w:color w:val="000000" w:themeColor="text1"/>
              </w:rPr>
              <w:t>Ref. CCF No.</w:t>
            </w:r>
          </w:p>
        </w:tc>
      </w:tr>
      <w:tr w:rsidR="00984FC2" w:rsidRPr="00B00137" w:rsidTr="00AB692E">
        <w:trPr>
          <w:trHeight w:val="432"/>
        </w:trPr>
        <w:tc>
          <w:tcPr>
            <w:tcW w:w="1170" w:type="dxa"/>
          </w:tcPr>
          <w:p w:rsidR="00984FC2" w:rsidRPr="00B00137" w:rsidRDefault="00984FC2" w:rsidP="00F3791A">
            <w:pPr>
              <w:jc w:val="center"/>
              <w:rPr>
                <w:color w:val="000000" w:themeColor="text1"/>
              </w:rPr>
            </w:pPr>
            <w:r w:rsidRPr="00B00137">
              <w:rPr>
                <w:color w:val="000000" w:themeColor="text1"/>
              </w:rPr>
              <w:t>00</w:t>
            </w:r>
          </w:p>
        </w:tc>
        <w:tc>
          <w:tcPr>
            <w:tcW w:w="1450" w:type="dxa"/>
          </w:tcPr>
          <w:p w:rsidR="00984FC2" w:rsidRPr="00B00137" w:rsidRDefault="00525A33" w:rsidP="00192087">
            <w:pPr>
              <w:jc w:val="center"/>
              <w:rPr>
                <w:color w:val="000000" w:themeColor="text1"/>
              </w:rPr>
            </w:pPr>
            <w:r>
              <w:rPr>
                <w:color w:val="000000" w:themeColor="text1"/>
              </w:rPr>
              <w:t>01-06-2007</w:t>
            </w:r>
          </w:p>
        </w:tc>
        <w:tc>
          <w:tcPr>
            <w:tcW w:w="5930" w:type="dxa"/>
          </w:tcPr>
          <w:p w:rsidR="00984FC2" w:rsidRPr="00B00137" w:rsidRDefault="00984FC2" w:rsidP="000115BB">
            <w:pPr>
              <w:rPr>
                <w:color w:val="000000" w:themeColor="text1"/>
              </w:rPr>
            </w:pPr>
            <w:r w:rsidRPr="00B00137">
              <w:rPr>
                <w:color w:val="000000" w:themeColor="text1"/>
              </w:rPr>
              <w:t>New SOP</w:t>
            </w:r>
            <w:r w:rsidR="00A915BD">
              <w:rPr>
                <w:color w:val="000000" w:themeColor="text1"/>
              </w:rPr>
              <w:t xml:space="preserve"> is introduced.</w:t>
            </w:r>
          </w:p>
        </w:tc>
        <w:tc>
          <w:tcPr>
            <w:tcW w:w="1530" w:type="dxa"/>
          </w:tcPr>
          <w:p w:rsidR="00984FC2" w:rsidRPr="000115BB" w:rsidRDefault="00984FC2" w:rsidP="00984FC2">
            <w:pPr>
              <w:jc w:val="center"/>
              <w:rPr>
                <w:color w:val="000000" w:themeColor="text1"/>
              </w:rPr>
            </w:pPr>
            <w:r>
              <w:rPr>
                <w:color w:val="000000" w:themeColor="text1"/>
              </w:rPr>
              <w:t>---</w:t>
            </w:r>
          </w:p>
        </w:tc>
      </w:tr>
      <w:tr w:rsidR="00525A33" w:rsidRPr="00B00137" w:rsidTr="00AB692E">
        <w:trPr>
          <w:trHeight w:val="432"/>
        </w:trPr>
        <w:tc>
          <w:tcPr>
            <w:tcW w:w="1170" w:type="dxa"/>
          </w:tcPr>
          <w:p w:rsidR="00525A33" w:rsidRPr="00B00137" w:rsidRDefault="00525A33" w:rsidP="00F3791A">
            <w:pPr>
              <w:jc w:val="center"/>
              <w:rPr>
                <w:color w:val="000000" w:themeColor="text1"/>
              </w:rPr>
            </w:pPr>
            <w:r>
              <w:rPr>
                <w:color w:val="000000" w:themeColor="text1"/>
              </w:rPr>
              <w:t>01</w:t>
            </w:r>
          </w:p>
        </w:tc>
        <w:tc>
          <w:tcPr>
            <w:tcW w:w="1450" w:type="dxa"/>
          </w:tcPr>
          <w:p w:rsidR="00525A33" w:rsidRPr="00B00137" w:rsidRDefault="00525A33" w:rsidP="00192087">
            <w:pPr>
              <w:jc w:val="center"/>
              <w:rPr>
                <w:color w:val="000000" w:themeColor="text1"/>
              </w:rPr>
            </w:pPr>
            <w:r>
              <w:rPr>
                <w:color w:val="000000" w:themeColor="text1"/>
              </w:rPr>
              <w:t>01-07-2009</w:t>
            </w:r>
          </w:p>
        </w:tc>
        <w:tc>
          <w:tcPr>
            <w:tcW w:w="5930" w:type="dxa"/>
          </w:tcPr>
          <w:p w:rsidR="00525A33" w:rsidRPr="00B00137" w:rsidRDefault="00525A33" w:rsidP="000115BB">
            <w:pPr>
              <w:rPr>
                <w:color w:val="000000" w:themeColor="text1"/>
              </w:rPr>
            </w:pPr>
            <w:r>
              <w:rPr>
                <w:color w:val="000000" w:themeColor="text1"/>
              </w:rPr>
              <w:t>SOP format changed and reviewed for more clarity.</w:t>
            </w:r>
          </w:p>
        </w:tc>
        <w:tc>
          <w:tcPr>
            <w:tcW w:w="1530" w:type="dxa"/>
          </w:tcPr>
          <w:p w:rsidR="00525A33" w:rsidRDefault="00525A33" w:rsidP="00984FC2">
            <w:pPr>
              <w:jc w:val="center"/>
              <w:rPr>
                <w:color w:val="000000" w:themeColor="text1"/>
              </w:rPr>
            </w:pPr>
            <w:r>
              <w:rPr>
                <w:color w:val="000000" w:themeColor="text1"/>
              </w:rPr>
              <w:t>---</w:t>
            </w:r>
          </w:p>
        </w:tc>
      </w:tr>
      <w:tr w:rsidR="00525A33" w:rsidRPr="00B00137" w:rsidTr="00AB692E">
        <w:trPr>
          <w:trHeight w:val="432"/>
        </w:trPr>
        <w:tc>
          <w:tcPr>
            <w:tcW w:w="1170" w:type="dxa"/>
          </w:tcPr>
          <w:p w:rsidR="00525A33" w:rsidRDefault="00525A33" w:rsidP="00F3791A">
            <w:pPr>
              <w:jc w:val="center"/>
              <w:rPr>
                <w:color w:val="000000" w:themeColor="text1"/>
              </w:rPr>
            </w:pPr>
            <w:r>
              <w:rPr>
                <w:color w:val="000000" w:themeColor="text1"/>
              </w:rPr>
              <w:t>02</w:t>
            </w:r>
          </w:p>
        </w:tc>
        <w:tc>
          <w:tcPr>
            <w:tcW w:w="1450" w:type="dxa"/>
          </w:tcPr>
          <w:p w:rsidR="00525A33" w:rsidRDefault="00A915BD" w:rsidP="00106DCE">
            <w:pPr>
              <w:jc w:val="center"/>
              <w:rPr>
                <w:color w:val="000000" w:themeColor="text1"/>
              </w:rPr>
            </w:pPr>
            <w:r>
              <w:rPr>
                <w:color w:val="000000" w:themeColor="text1"/>
              </w:rPr>
              <w:t>1</w:t>
            </w:r>
            <w:r w:rsidR="00106DCE">
              <w:rPr>
                <w:color w:val="000000" w:themeColor="text1"/>
              </w:rPr>
              <w:t>5</w:t>
            </w:r>
            <w:r>
              <w:rPr>
                <w:color w:val="000000" w:themeColor="text1"/>
              </w:rPr>
              <w:t>-06-2014</w:t>
            </w:r>
          </w:p>
        </w:tc>
        <w:tc>
          <w:tcPr>
            <w:tcW w:w="5930" w:type="dxa"/>
          </w:tcPr>
          <w:p w:rsidR="00525A33" w:rsidRDefault="00A915BD" w:rsidP="000115BB">
            <w:pPr>
              <w:rPr>
                <w:color w:val="000000" w:themeColor="text1"/>
              </w:rPr>
            </w:pPr>
            <w:r>
              <w:rPr>
                <w:color w:val="000000" w:themeColor="text1"/>
              </w:rPr>
              <w:t>Revised as per current SOP &amp; more clear and clarity.</w:t>
            </w:r>
          </w:p>
        </w:tc>
        <w:tc>
          <w:tcPr>
            <w:tcW w:w="1530" w:type="dxa"/>
          </w:tcPr>
          <w:p w:rsidR="00525A33" w:rsidRDefault="00525A33" w:rsidP="00984FC2">
            <w:pPr>
              <w:jc w:val="center"/>
              <w:rPr>
                <w:color w:val="000000" w:themeColor="text1"/>
              </w:rPr>
            </w:pPr>
            <w:r>
              <w:rPr>
                <w:color w:val="000000" w:themeColor="text1"/>
              </w:rPr>
              <w:t>---</w:t>
            </w:r>
          </w:p>
        </w:tc>
      </w:tr>
      <w:tr w:rsidR="00525A33" w:rsidRPr="00B00137" w:rsidTr="00AB692E">
        <w:trPr>
          <w:trHeight w:val="432"/>
        </w:trPr>
        <w:tc>
          <w:tcPr>
            <w:tcW w:w="1170" w:type="dxa"/>
          </w:tcPr>
          <w:p w:rsidR="00525A33" w:rsidRDefault="00525A33" w:rsidP="00F3791A">
            <w:pPr>
              <w:jc w:val="center"/>
              <w:rPr>
                <w:color w:val="000000" w:themeColor="text1"/>
              </w:rPr>
            </w:pPr>
            <w:r>
              <w:rPr>
                <w:color w:val="000000" w:themeColor="text1"/>
              </w:rPr>
              <w:lastRenderedPageBreak/>
              <w:t>03</w:t>
            </w:r>
          </w:p>
        </w:tc>
        <w:tc>
          <w:tcPr>
            <w:tcW w:w="1450" w:type="dxa"/>
          </w:tcPr>
          <w:p w:rsidR="00525A33" w:rsidRDefault="00A915BD" w:rsidP="00525A33">
            <w:pPr>
              <w:jc w:val="center"/>
              <w:rPr>
                <w:color w:val="000000" w:themeColor="text1"/>
              </w:rPr>
            </w:pPr>
            <w:r>
              <w:rPr>
                <w:color w:val="000000" w:themeColor="text1"/>
              </w:rPr>
              <w:t>01-09-2014</w:t>
            </w:r>
          </w:p>
        </w:tc>
        <w:tc>
          <w:tcPr>
            <w:tcW w:w="5930" w:type="dxa"/>
          </w:tcPr>
          <w:p w:rsidR="00914ADC" w:rsidRDefault="00A915BD" w:rsidP="002B3948">
            <w:pPr>
              <w:pStyle w:val="ListParagraph"/>
              <w:numPr>
                <w:ilvl w:val="0"/>
                <w:numId w:val="25"/>
              </w:numPr>
              <w:spacing w:line="360" w:lineRule="auto"/>
              <w:jc w:val="both"/>
              <w:rPr>
                <w:color w:val="000000" w:themeColor="text1"/>
              </w:rPr>
            </w:pPr>
            <w:r>
              <w:rPr>
                <w:color w:val="000000" w:themeColor="text1"/>
              </w:rPr>
              <w:t>Requirement of validation for Re work is included.</w:t>
            </w:r>
          </w:p>
          <w:p w:rsidR="00A915BD" w:rsidRDefault="00A915BD" w:rsidP="002B3948">
            <w:pPr>
              <w:pStyle w:val="ListParagraph"/>
              <w:numPr>
                <w:ilvl w:val="0"/>
                <w:numId w:val="25"/>
              </w:numPr>
              <w:spacing w:line="360" w:lineRule="auto"/>
              <w:jc w:val="both"/>
              <w:rPr>
                <w:color w:val="000000" w:themeColor="text1"/>
              </w:rPr>
            </w:pPr>
            <w:r>
              <w:rPr>
                <w:color w:val="000000" w:themeColor="text1"/>
              </w:rPr>
              <w:t>Times rework process is allowed included in the SOP.</w:t>
            </w:r>
          </w:p>
          <w:p w:rsidR="00A915BD" w:rsidRDefault="00A915BD" w:rsidP="002B3948">
            <w:pPr>
              <w:pStyle w:val="ListParagraph"/>
              <w:numPr>
                <w:ilvl w:val="0"/>
                <w:numId w:val="25"/>
              </w:numPr>
              <w:spacing w:line="360" w:lineRule="auto"/>
              <w:jc w:val="both"/>
              <w:rPr>
                <w:color w:val="000000" w:themeColor="text1"/>
              </w:rPr>
            </w:pPr>
            <w:r>
              <w:rPr>
                <w:color w:val="000000" w:themeColor="text1"/>
              </w:rPr>
              <w:t>Reprocess /Rework Log book included.</w:t>
            </w:r>
          </w:p>
        </w:tc>
        <w:tc>
          <w:tcPr>
            <w:tcW w:w="1530" w:type="dxa"/>
          </w:tcPr>
          <w:p w:rsidR="00525A33" w:rsidRDefault="00525A33" w:rsidP="00984FC2">
            <w:pPr>
              <w:jc w:val="center"/>
              <w:rPr>
                <w:color w:val="000000" w:themeColor="text1"/>
              </w:rPr>
            </w:pPr>
            <w:r>
              <w:rPr>
                <w:color w:val="000000" w:themeColor="text1"/>
              </w:rPr>
              <w:t>---</w:t>
            </w:r>
          </w:p>
        </w:tc>
      </w:tr>
      <w:tr w:rsidR="00984FC2" w:rsidRPr="00B00137" w:rsidTr="001C24B0">
        <w:trPr>
          <w:trHeight w:val="374"/>
        </w:trPr>
        <w:tc>
          <w:tcPr>
            <w:tcW w:w="1170" w:type="dxa"/>
          </w:tcPr>
          <w:p w:rsidR="00984FC2" w:rsidRPr="00B00137" w:rsidRDefault="00984FC2" w:rsidP="00AB692E">
            <w:pPr>
              <w:jc w:val="center"/>
              <w:rPr>
                <w:color w:val="000000" w:themeColor="text1"/>
              </w:rPr>
            </w:pPr>
            <w:r w:rsidRPr="00B00137">
              <w:rPr>
                <w:color w:val="000000" w:themeColor="text1"/>
              </w:rPr>
              <w:t>0</w:t>
            </w:r>
            <w:r w:rsidR="00AB692E">
              <w:rPr>
                <w:color w:val="000000" w:themeColor="text1"/>
              </w:rPr>
              <w:t>4</w:t>
            </w:r>
          </w:p>
        </w:tc>
        <w:tc>
          <w:tcPr>
            <w:tcW w:w="1450" w:type="dxa"/>
          </w:tcPr>
          <w:p w:rsidR="00984FC2" w:rsidRPr="00B00137" w:rsidRDefault="00407F01" w:rsidP="00E770EA">
            <w:pPr>
              <w:jc w:val="center"/>
              <w:rPr>
                <w:color w:val="000000" w:themeColor="text1"/>
              </w:rPr>
            </w:pPr>
            <w:r>
              <w:rPr>
                <w:color w:val="000000" w:themeColor="text1"/>
              </w:rPr>
              <w:t>01-0</w:t>
            </w:r>
            <w:r w:rsidR="00E770EA">
              <w:rPr>
                <w:color w:val="000000" w:themeColor="text1"/>
              </w:rPr>
              <w:t>3</w:t>
            </w:r>
            <w:r>
              <w:rPr>
                <w:color w:val="000000" w:themeColor="text1"/>
              </w:rPr>
              <w:t>-2017</w:t>
            </w:r>
          </w:p>
        </w:tc>
        <w:tc>
          <w:tcPr>
            <w:tcW w:w="5930" w:type="dxa"/>
            <w:vAlign w:val="center"/>
          </w:tcPr>
          <w:p w:rsidR="002F0091" w:rsidRDefault="00407F01" w:rsidP="00407F01">
            <w:pPr>
              <w:pStyle w:val="ListParagraph"/>
              <w:numPr>
                <w:ilvl w:val="0"/>
                <w:numId w:val="42"/>
              </w:numPr>
              <w:spacing w:line="360" w:lineRule="auto"/>
              <w:jc w:val="both"/>
              <w:rPr>
                <w:color w:val="000000" w:themeColor="text1"/>
              </w:rPr>
            </w:pPr>
            <w:r>
              <w:rPr>
                <w:color w:val="000000" w:themeColor="text1"/>
              </w:rPr>
              <w:t>SOP format changed make to inline with SOP-QA-001-04.</w:t>
            </w:r>
          </w:p>
          <w:p w:rsidR="008702FE" w:rsidRDefault="008702FE" w:rsidP="00407F01">
            <w:pPr>
              <w:pStyle w:val="ListParagraph"/>
              <w:numPr>
                <w:ilvl w:val="0"/>
                <w:numId w:val="42"/>
              </w:numPr>
              <w:spacing w:line="360" w:lineRule="auto"/>
              <w:jc w:val="both"/>
              <w:rPr>
                <w:color w:val="000000" w:themeColor="text1"/>
              </w:rPr>
            </w:pPr>
            <w:r>
              <w:rPr>
                <w:color w:val="000000" w:themeColor="text1"/>
              </w:rPr>
              <w:t xml:space="preserve">Reprocess /Rework Log book </w:t>
            </w:r>
            <w:r w:rsidR="00AB0F44">
              <w:rPr>
                <w:color w:val="000000" w:themeColor="text1"/>
              </w:rPr>
              <w:t>removed</w:t>
            </w:r>
            <w:r>
              <w:rPr>
                <w:color w:val="000000" w:themeColor="text1"/>
              </w:rPr>
              <w:t>.</w:t>
            </w:r>
          </w:p>
          <w:p w:rsidR="00407F01" w:rsidRPr="00407F01" w:rsidRDefault="00407F01" w:rsidP="00407F01">
            <w:pPr>
              <w:pStyle w:val="ListParagraph"/>
              <w:numPr>
                <w:ilvl w:val="0"/>
                <w:numId w:val="42"/>
              </w:numPr>
              <w:spacing w:line="360" w:lineRule="auto"/>
              <w:jc w:val="both"/>
              <w:rPr>
                <w:color w:val="000000" w:themeColor="text1"/>
              </w:rPr>
            </w:pPr>
            <w:r>
              <w:rPr>
                <w:color w:val="000000" w:themeColor="text1"/>
              </w:rPr>
              <w:t>Altogether procedure has been rephrased for better clarity.</w:t>
            </w:r>
          </w:p>
        </w:tc>
        <w:tc>
          <w:tcPr>
            <w:tcW w:w="1530" w:type="dxa"/>
          </w:tcPr>
          <w:p w:rsidR="00984FC2" w:rsidRPr="00B00137" w:rsidRDefault="00407F01" w:rsidP="00FB0E89">
            <w:pPr>
              <w:jc w:val="center"/>
              <w:rPr>
                <w:bCs/>
                <w:color w:val="000000" w:themeColor="text1"/>
              </w:rPr>
            </w:pPr>
            <w:r>
              <w:rPr>
                <w:bCs/>
                <w:color w:val="000000" w:themeColor="text1"/>
              </w:rPr>
              <w:t>QA-CRF-014/16</w:t>
            </w:r>
          </w:p>
        </w:tc>
      </w:tr>
      <w:tr w:rsidR="00134A58" w:rsidRPr="00B00137" w:rsidTr="001C24B0">
        <w:trPr>
          <w:trHeight w:val="374"/>
        </w:trPr>
        <w:tc>
          <w:tcPr>
            <w:tcW w:w="1170" w:type="dxa"/>
          </w:tcPr>
          <w:p w:rsidR="00134A58" w:rsidRPr="00B00137" w:rsidRDefault="00134A58" w:rsidP="00AB692E">
            <w:pPr>
              <w:jc w:val="center"/>
              <w:rPr>
                <w:color w:val="000000" w:themeColor="text1"/>
              </w:rPr>
            </w:pPr>
            <w:r>
              <w:rPr>
                <w:color w:val="000000" w:themeColor="text1"/>
              </w:rPr>
              <w:t>05</w:t>
            </w:r>
          </w:p>
        </w:tc>
        <w:tc>
          <w:tcPr>
            <w:tcW w:w="1450" w:type="dxa"/>
          </w:tcPr>
          <w:p w:rsidR="00134A58" w:rsidRDefault="00134A58" w:rsidP="00E770EA">
            <w:pPr>
              <w:jc w:val="center"/>
              <w:rPr>
                <w:color w:val="000000" w:themeColor="text1"/>
              </w:rPr>
            </w:pPr>
          </w:p>
        </w:tc>
        <w:tc>
          <w:tcPr>
            <w:tcW w:w="5930" w:type="dxa"/>
            <w:vAlign w:val="center"/>
          </w:tcPr>
          <w:p w:rsidR="00134A58" w:rsidRPr="00134A58" w:rsidRDefault="00134A58" w:rsidP="00134A58">
            <w:pPr>
              <w:spacing w:line="360" w:lineRule="auto"/>
              <w:jc w:val="both"/>
              <w:rPr>
                <w:color w:val="000000" w:themeColor="text1"/>
              </w:rPr>
            </w:pPr>
            <w:r w:rsidRPr="00134A58">
              <w:rPr>
                <w:color w:val="000000" w:themeColor="text1"/>
              </w:rPr>
              <w:t>SOP format changed make to inline with SOP-QA-001-0</w:t>
            </w:r>
            <w:r>
              <w:rPr>
                <w:color w:val="000000" w:themeColor="text1"/>
              </w:rPr>
              <w:t>5</w:t>
            </w:r>
            <w:r w:rsidRPr="00134A58">
              <w:rPr>
                <w:color w:val="000000" w:themeColor="text1"/>
              </w:rPr>
              <w:t>.</w:t>
            </w:r>
          </w:p>
        </w:tc>
        <w:tc>
          <w:tcPr>
            <w:tcW w:w="1530" w:type="dxa"/>
          </w:tcPr>
          <w:p w:rsidR="00134A58" w:rsidRDefault="00134A58" w:rsidP="00FB0E89">
            <w:pPr>
              <w:jc w:val="center"/>
              <w:rPr>
                <w:bCs/>
                <w:color w:val="000000" w:themeColor="text1"/>
              </w:rPr>
            </w:pPr>
            <w:r>
              <w:rPr>
                <w:bCs/>
                <w:color w:val="000000" w:themeColor="text1"/>
              </w:rPr>
              <w:t>CCF/GEN/</w:t>
            </w:r>
            <w:r>
              <w:rPr>
                <w:bCs/>
                <w:color w:val="000000" w:themeColor="text1"/>
              </w:rPr>
              <w:br/>
              <w:t>17028</w:t>
            </w:r>
          </w:p>
        </w:tc>
      </w:tr>
    </w:tbl>
    <w:p w:rsidR="009D6DB8" w:rsidRPr="00B00137" w:rsidRDefault="009D6DB8" w:rsidP="00A0202B">
      <w:pPr>
        <w:rPr>
          <w:color w:val="000000" w:themeColor="text1"/>
        </w:rPr>
      </w:pPr>
    </w:p>
    <w:sectPr w:rsidR="009D6DB8" w:rsidRPr="00B00137" w:rsidSect="005251EA">
      <w:headerReference w:type="even" r:id="rId8"/>
      <w:headerReference w:type="default" r:id="rId9"/>
      <w:footerReference w:type="even" r:id="rId10"/>
      <w:footerReference w:type="default" r:id="rId11"/>
      <w:headerReference w:type="first" r:id="rId12"/>
      <w:footerReference w:type="first" r:id="rId13"/>
      <w:pgSz w:w="11909" w:h="16834" w:code="9"/>
      <w:pgMar w:top="1440" w:right="929" w:bottom="810" w:left="1440" w:header="1152" w:footer="10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E11" w:rsidRDefault="00D75E11">
      <w:r>
        <w:separator/>
      </w:r>
    </w:p>
  </w:endnote>
  <w:endnote w:type="continuationSeparator" w:id="1">
    <w:p w:rsidR="00D75E11" w:rsidRDefault="00D75E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A97" w:rsidRDefault="000E1A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873"/>
      <w:gridCol w:w="2652"/>
      <w:gridCol w:w="2753"/>
      <w:gridCol w:w="2874"/>
    </w:tblGrid>
    <w:tr w:rsidR="005251EA" w:rsidRPr="00E90738" w:rsidTr="0004260C">
      <w:trPr>
        <w:trHeight w:val="346"/>
      </w:trPr>
      <w:tc>
        <w:tcPr>
          <w:tcW w:w="1873" w:type="dxa"/>
          <w:vAlign w:val="center"/>
        </w:tcPr>
        <w:p w:rsidR="005251EA" w:rsidRPr="0029058A" w:rsidRDefault="005251EA" w:rsidP="006E21D7">
          <w:pPr>
            <w:tabs>
              <w:tab w:val="center" w:pos="4320"/>
              <w:tab w:val="right" w:pos="8640"/>
            </w:tabs>
            <w:jc w:val="center"/>
            <w:rPr>
              <w:b/>
            </w:rPr>
          </w:pPr>
        </w:p>
      </w:tc>
      <w:tc>
        <w:tcPr>
          <w:tcW w:w="2652"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753"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2874"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04260C">
      <w:trPr>
        <w:trHeight w:val="648"/>
      </w:trPr>
      <w:tc>
        <w:tcPr>
          <w:tcW w:w="1873"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652" w:type="dxa"/>
          <w:vAlign w:val="center"/>
        </w:tcPr>
        <w:p w:rsidR="005251EA" w:rsidRPr="0029058A" w:rsidRDefault="005251EA" w:rsidP="006E21D7">
          <w:pPr>
            <w:tabs>
              <w:tab w:val="center" w:pos="4320"/>
              <w:tab w:val="right" w:pos="8640"/>
            </w:tabs>
            <w:jc w:val="center"/>
            <w:rPr>
              <w:sz w:val="22"/>
              <w:szCs w:val="22"/>
            </w:rPr>
          </w:pPr>
        </w:p>
      </w:tc>
      <w:tc>
        <w:tcPr>
          <w:tcW w:w="2753" w:type="dxa"/>
          <w:vAlign w:val="center"/>
        </w:tcPr>
        <w:p w:rsidR="005251EA" w:rsidRPr="0029058A" w:rsidRDefault="005251EA" w:rsidP="006E21D7">
          <w:pPr>
            <w:jc w:val="center"/>
            <w:rPr>
              <w:sz w:val="22"/>
              <w:szCs w:val="22"/>
            </w:rPr>
          </w:pPr>
        </w:p>
      </w:tc>
      <w:tc>
        <w:tcPr>
          <w:tcW w:w="2874" w:type="dxa"/>
          <w:vAlign w:val="center"/>
        </w:tcPr>
        <w:p w:rsidR="005251EA" w:rsidRPr="0029058A" w:rsidRDefault="005251EA" w:rsidP="006E21D7">
          <w:pPr>
            <w:jc w:val="center"/>
            <w:rPr>
              <w:sz w:val="22"/>
              <w:szCs w:val="22"/>
            </w:rPr>
          </w:pPr>
        </w:p>
      </w:tc>
    </w:tr>
    <w:tr w:rsidR="005251EA" w:rsidRPr="00E90738" w:rsidTr="009C72AE">
      <w:trPr>
        <w:trHeight w:val="346"/>
      </w:trPr>
      <w:tc>
        <w:tcPr>
          <w:tcW w:w="1873" w:type="dxa"/>
          <w:vAlign w:val="center"/>
        </w:tcPr>
        <w:p w:rsidR="005251EA" w:rsidRPr="0029058A" w:rsidRDefault="005251EA" w:rsidP="006E21D7">
          <w:pPr>
            <w:tabs>
              <w:tab w:val="center" w:pos="4320"/>
              <w:tab w:val="right" w:pos="8640"/>
            </w:tabs>
            <w:jc w:val="center"/>
          </w:pPr>
          <w:r w:rsidRPr="0029058A">
            <w:t>Name</w:t>
          </w:r>
        </w:p>
      </w:tc>
      <w:tc>
        <w:tcPr>
          <w:tcW w:w="2652" w:type="dxa"/>
          <w:vAlign w:val="center"/>
        </w:tcPr>
        <w:p w:rsidR="005251EA" w:rsidRPr="0029058A" w:rsidRDefault="000E1A97" w:rsidP="006E21D7">
          <w:pPr>
            <w:tabs>
              <w:tab w:val="center" w:pos="4320"/>
              <w:tab w:val="right" w:pos="8640"/>
            </w:tabs>
            <w:jc w:val="center"/>
          </w:pPr>
          <w:r>
            <w:t>Y. Samatha</w:t>
          </w:r>
        </w:p>
      </w:tc>
      <w:tc>
        <w:tcPr>
          <w:tcW w:w="2753" w:type="dxa"/>
          <w:vAlign w:val="center"/>
        </w:tcPr>
        <w:p w:rsidR="005251EA" w:rsidRPr="0029058A" w:rsidRDefault="000E1A97" w:rsidP="006E21D7">
          <w:pPr>
            <w:jc w:val="center"/>
          </w:pPr>
          <w:r>
            <w:t>G.Swapna</w:t>
          </w:r>
        </w:p>
      </w:tc>
      <w:tc>
        <w:tcPr>
          <w:tcW w:w="2874" w:type="dxa"/>
          <w:vAlign w:val="center"/>
        </w:tcPr>
        <w:p w:rsidR="005251EA" w:rsidRPr="0029058A" w:rsidRDefault="008E09D2" w:rsidP="006E21D7">
          <w:pPr>
            <w:jc w:val="center"/>
          </w:pPr>
          <w:r w:rsidRPr="0029058A">
            <w:t>Ch. Mahendar Reddy</w:t>
          </w:r>
        </w:p>
      </w:tc>
    </w:tr>
    <w:tr w:rsidR="005251EA" w:rsidRPr="00E90738" w:rsidTr="009C72AE">
      <w:trPr>
        <w:trHeight w:val="346"/>
      </w:trPr>
      <w:tc>
        <w:tcPr>
          <w:tcW w:w="1873" w:type="dxa"/>
          <w:vAlign w:val="center"/>
        </w:tcPr>
        <w:p w:rsidR="005251EA" w:rsidRPr="0029058A" w:rsidRDefault="005251EA" w:rsidP="006E21D7">
          <w:pPr>
            <w:jc w:val="center"/>
          </w:pPr>
          <w:r w:rsidRPr="0029058A">
            <w:t>Department</w:t>
          </w:r>
        </w:p>
      </w:tc>
      <w:tc>
        <w:tcPr>
          <w:tcW w:w="2652" w:type="dxa"/>
          <w:vAlign w:val="center"/>
        </w:tcPr>
        <w:p w:rsidR="005251EA" w:rsidRPr="0029058A" w:rsidRDefault="005251EA" w:rsidP="006E21D7">
          <w:pPr>
            <w:jc w:val="center"/>
          </w:pPr>
          <w:r w:rsidRPr="0029058A">
            <w:t>Quality Assurance</w:t>
          </w:r>
        </w:p>
      </w:tc>
      <w:tc>
        <w:tcPr>
          <w:tcW w:w="2753" w:type="dxa"/>
          <w:vAlign w:val="center"/>
        </w:tcPr>
        <w:p w:rsidR="005251EA" w:rsidRPr="0029058A" w:rsidRDefault="005251EA" w:rsidP="006E21D7">
          <w:pPr>
            <w:jc w:val="center"/>
          </w:pPr>
          <w:r w:rsidRPr="0029058A">
            <w:t>Quality Assurance</w:t>
          </w:r>
        </w:p>
      </w:tc>
      <w:tc>
        <w:tcPr>
          <w:tcW w:w="2874" w:type="dxa"/>
          <w:vAlign w:val="center"/>
        </w:tcPr>
        <w:p w:rsidR="005251EA" w:rsidRPr="0029058A" w:rsidRDefault="005251EA" w:rsidP="006E21D7">
          <w:pPr>
            <w:jc w:val="center"/>
          </w:pPr>
          <w:r w:rsidRPr="0029058A">
            <w:t>Quality Assurance</w:t>
          </w:r>
        </w:p>
      </w:tc>
    </w:tr>
  </w:tbl>
  <w:p w:rsidR="005251EA" w:rsidRPr="00E609BF" w:rsidRDefault="00E609BF" w:rsidP="00E609BF">
    <w:pPr>
      <w:pStyle w:val="Footer"/>
      <w:ind w:left="-504"/>
    </w:pPr>
    <w:r w:rsidRPr="00F12C2F">
      <w:t>QA001-FM1</w:t>
    </w:r>
    <w:r>
      <w:t>39-0</w:t>
    </w:r>
    <w:r w:rsidR="008E09D2">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E11" w:rsidRDefault="00D75E11">
      <w:r>
        <w:separator/>
      </w:r>
    </w:p>
  </w:footnote>
  <w:footnote w:type="continuationSeparator" w:id="1">
    <w:p w:rsidR="00D75E11" w:rsidRDefault="00D75E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1A97" w:rsidRDefault="000E1A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52" w:type="dxa"/>
      <w:tblInd w:w="-40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133"/>
      <w:gridCol w:w="1665"/>
      <w:gridCol w:w="2403"/>
      <w:gridCol w:w="2115"/>
      <w:gridCol w:w="1836"/>
    </w:tblGrid>
    <w:tr w:rsidR="0004260C" w:rsidRPr="007D7C90" w:rsidTr="00BE0E2A">
      <w:trPr>
        <w:cantSplit/>
        <w:trHeight w:val="403"/>
      </w:trPr>
      <w:tc>
        <w:tcPr>
          <w:tcW w:w="2133" w:type="dxa"/>
          <w:vMerge w:val="restart"/>
          <w:vAlign w:val="center"/>
        </w:tcPr>
        <w:p w:rsidR="0004260C" w:rsidRPr="007D7C90" w:rsidRDefault="00BE0E2A" w:rsidP="00BE0E2A">
          <w:pPr>
            <w:ind w:left="792" w:hanging="792"/>
            <w:jc w:val="center"/>
            <w:rPr>
              <w:b/>
              <w:sz w:val="28"/>
              <w:szCs w:val="28"/>
            </w:rPr>
          </w:pPr>
          <w:r w:rsidRPr="00BE0E2A">
            <w:rPr>
              <w:b/>
              <w:noProof/>
              <w:sz w:val="28"/>
              <w:szCs w:val="28"/>
            </w:rPr>
            <w:drawing>
              <wp:anchor distT="0" distB="0" distL="114300" distR="114300" simplePos="0" relativeHeight="251665408" behindDoc="0" locked="0" layoutInCell="1" allowOverlap="1">
                <wp:simplePos x="0" y="0"/>
                <wp:positionH relativeFrom="column">
                  <wp:posOffset>42545</wp:posOffset>
                </wp:positionH>
                <wp:positionV relativeFrom="paragraph">
                  <wp:posOffset>-129540</wp:posOffset>
                </wp:positionV>
                <wp:extent cx="1005840" cy="542925"/>
                <wp:effectExtent l="19050" t="0" r="381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005840" cy="542925"/>
                        </a:xfrm>
                        <a:prstGeom prst="rect">
                          <a:avLst/>
                        </a:prstGeom>
                        <a:noFill/>
                        <a:ln w="9525">
                          <a:noFill/>
                          <a:miter lim="800000"/>
                          <a:headEnd/>
                          <a:tailEnd/>
                        </a:ln>
                      </pic:spPr>
                    </pic:pic>
                  </a:graphicData>
                </a:graphic>
              </wp:anchor>
            </w:drawing>
          </w:r>
        </w:p>
      </w:tc>
      <w:tc>
        <w:tcPr>
          <w:tcW w:w="8019" w:type="dxa"/>
          <w:gridSpan w:val="4"/>
          <w:vAlign w:val="center"/>
        </w:tcPr>
        <w:p w:rsidR="0004260C" w:rsidRPr="007D7C90" w:rsidRDefault="0004260C" w:rsidP="00066343">
          <w:pPr>
            <w:jc w:val="center"/>
            <w:rPr>
              <w:b/>
              <w:sz w:val="28"/>
              <w:szCs w:val="28"/>
            </w:rPr>
          </w:pPr>
          <w:r w:rsidRPr="007D7C90">
            <w:rPr>
              <w:b/>
            </w:rPr>
            <w:t>STANDARD OPERATING PROCEDURE</w:t>
          </w:r>
        </w:p>
      </w:tc>
    </w:tr>
    <w:tr w:rsidR="0004260C" w:rsidRPr="007D7C90" w:rsidTr="00604FFF">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 xml:space="preserve">SOP No.: </w:t>
          </w:r>
        </w:p>
      </w:tc>
      <w:tc>
        <w:tcPr>
          <w:tcW w:w="2403" w:type="dxa"/>
          <w:vAlign w:val="center"/>
        </w:tcPr>
        <w:p w:rsidR="0004260C" w:rsidRPr="007D7C90" w:rsidRDefault="0004260C" w:rsidP="00830D33">
          <w:r w:rsidRPr="007D7C90">
            <w:t>SOP-QA-0</w:t>
          </w:r>
          <w:r w:rsidR="00830D33">
            <w:t>17</w:t>
          </w:r>
          <w:r w:rsidRPr="007D7C90">
            <w:t>-0</w:t>
          </w:r>
          <w:r w:rsidR="008E09D2">
            <w:t>5</w:t>
          </w:r>
        </w:p>
      </w:tc>
      <w:tc>
        <w:tcPr>
          <w:tcW w:w="2115" w:type="dxa"/>
          <w:vAlign w:val="center"/>
        </w:tcPr>
        <w:p w:rsidR="0004260C" w:rsidRPr="007D7C90" w:rsidRDefault="0004260C" w:rsidP="00066343">
          <w:r w:rsidRPr="007D7C90">
            <w:t>Effective Date:</w:t>
          </w:r>
        </w:p>
      </w:tc>
      <w:tc>
        <w:tcPr>
          <w:tcW w:w="1836" w:type="dxa"/>
          <w:vAlign w:val="center"/>
        </w:tcPr>
        <w:p w:rsidR="0004260C" w:rsidRPr="007D7C90" w:rsidRDefault="0004260C" w:rsidP="00E609BF">
          <w:pPr>
            <w:jc w:val="center"/>
          </w:pPr>
        </w:p>
      </w:tc>
    </w:tr>
    <w:tr w:rsidR="008E09D2" w:rsidRPr="007D7C90" w:rsidTr="00604FFF">
      <w:trPr>
        <w:cantSplit/>
        <w:trHeight w:val="432"/>
      </w:trPr>
      <w:tc>
        <w:tcPr>
          <w:tcW w:w="2133" w:type="dxa"/>
          <w:vMerge/>
          <w:vAlign w:val="center"/>
        </w:tcPr>
        <w:p w:rsidR="008E09D2" w:rsidRPr="007D7C90" w:rsidRDefault="008E09D2" w:rsidP="00066343"/>
      </w:tc>
      <w:tc>
        <w:tcPr>
          <w:tcW w:w="1665" w:type="dxa"/>
          <w:vAlign w:val="center"/>
        </w:tcPr>
        <w:p w:rsidR="008E09D2" w:rsidRPr="007D7C90" w:rsidRDefault="008E09D2" w:rsidP="00066343">
          <w:r w:rsidRPr="007D7C90">
            <w:t xml:space="preserve">Supersedes : </w:t>
          </w:r>
        </w:p>
      </w:tc>
      <w:tc>
        <w:tcPr>
          <w:tcW w:w="2403" w:type="dxa"/>
          <w:vAlign w:val="center"/>
        </w:tcPr>
        <w:p w:rsidR="008E09D2" w:rsidRPr="007D7C90" w:rsidRDefault="008E09D2" w:rsidP="00A33AF5">
          <w:r w:rsidRPr="007D7C90">
            <w:t>SOP-QA-0</w:t>
          </w:r>
          <w:r>
            <w:t>17</w:t>
          </w:r>
          <w:r w:rsidRPr="007D7C90">
            <w:t>-0</w:t>
          </w:r>
          <w:r>
            <w:t>4</w:t>
          </w:r>
        </w:p>
      </w:tc>
      <w:tc>
        <w:tcPr>
          <w:tcW w:w="2115" w:type="dxa"/>
          <w:vAlign w:val="center"/>
        </w:tcPr>
        <w:p w:rsidR="008E09D2" w:rsidRPr="007D7C90" w:rsidRDefault="008E09D2" w:rsidP="00066343">
          <w:r w:rsidRPr="007D7C90">
            <w:t>Next Review Date:</w:t>
          </w:r>
        </w:p>
      </w:tc>
      <w:tc>
        <w:tcPr>
          <w:tcW w:w="1836" w:type="dxa"/>
          <w:vAlign w:val="center"/>
        </w:tcPr>
        <w:p w:rsidR="008E09D2" w:rsidRPr="007D7C90" w:rsidRDefault="008E09D2" w:rsidP="00E609BF">
          <w:pPr>
            <w:jc w:val="center"/>
          </w:pPr>
        </w:p>
      </w:tc>
    </w:tr>
    <w:tr w:rsidR="0004260C" w:rsidRPr="007D7C90" w:rsidTr="00604FFF">
      <w:trPr>
        <w:cantSplit/>
        <w:trHeight w:val="432"/>
      </w:trPr>
      <w:tc>
        <w:tcPr>
          <w:tcW w:w="2133" w:type="dxa"/>
          <w:vMerge/>
          <w:vAlign w:val="center"/>
        </w:tcPr>
        <w:p w:rsidR="0004260C" w:rsidRPr="007D7C90" w:rsidRDefault="0004260C" w:rsidP="00066343"/>
      </w:tc>
      <w:tc>
        <w:tcPr>
          <w:tcW w:w="1665" w:type="dxa"/>
          <w:vAlign w:val="center"/>
        </w:tcPr>
        <w:p w:rsidR="0004260C" w:rsidRPr="007D7C90" w:rsidRDefault="0004260C" w:rsidP="00066343">
          <w:r w:rsidRPr="007D7C90">
            <w:t>Department:</w:t>
          </w:r>
        </w:p>
      </w:tc>
      <w:tc>
        <w:tcPr>
          <w:tcW w:w="2403" w:type="dxa"/>
          <w:vAlign w:val="center"/>
        </w:tcPr>
        <w:p w:rsidR="0004260C" w:rsidRPr="007D7C90" w:rsidRDefault="0004260C" w:rsidP="00066343">
          <w:r w:rsidRPr="007D7C90">
            <w:t>Quality Assurance</w:t>
          </w:r>
        </w:p>
      </w:tc>
      <w:tc>
        <w:tcPr>
          <w:tcW w:w="2115" w:type="dxa"/>
          <w:vAlign w:val="center"/>
        </w:tcPr>
        <w:p w:rsidR="0004260C" w:rsidRPr="007D7C90" w:rsidRDefault="0004260C" w:rsidP="00066343">
          <w:r w:rsidRPr="007D7C90">
            <w:t>Page:</w:t>
          </w:r>
        </w:p>
      </w:tc>
      <w:tc>
        <w:tcPr>
          <w:tcW w:w="1836" w:type="dxa"/>
          <w:vAlign w:val="center"/>
        </w:tcPr>
        <w:p w:rsidR="0004260C" w:rsidRPr="007D7C90" w:rsidRDefault="005B4A0E" w:rsidP="00066343">
          <w:pPr>
            <w:jc w:val="center"/>
          </w:pPr>
          <w:r w:rsidRPr="007D7C90">
            <w:fldChar w:fldCharType="begin"/>
          </w:r>
          <w:r w:rsidR="0004260C" w:rsidRPr="007D7C90">
            <w:instrText xml:space="preserve"> PAGE </w:instrText>
          </w:r>
          <w:r w:rsidRPr="007D7C90">
            <w:fldChar w:fldCharType="separate"/>
          </w:r>
          <w:r w:rsidR="000E1A97">
            <w:rPr>
              <w:noProof/>
            </w:rPr>
            <w:t>1</w:t>
          </w:r>
          <w:r w:rsidRPr="007D7C90">
            <w:fldChar w:fldCharType="end"/>
          </w:r>
          <w:r w:rsidR="0004260C" w:rsidRPr="007D7C90">
            <w:t xml:space="preserve"> of </w:t>
          </w:r>
          <w:r w:rsidRPr="007D7C90">
            <w:fldChar w:fldCharType="begin"/>
          </w:r>
          <w:r w:rsidR="0004260C" w:rsidRPr="007D7C90">
            <w:instrText xml:space="preserve"> NUMPAGES </w:instrText>
          </w:r>
          <w:r w:rsidRPr="007D7C90">
            <w:fldChar w:fldCharType="separate"/>
          </w:r>
          <w:r w:rsidR="002A4997">
            <w:rPr>
              <w:noProof/>
            </w:rPr>
            <w:t>4</w:t>
          </w:r>
          <w:r w:rsidRPr="007D7C90">
            <w:fldChar w:fldCharType="end"/>
          </w:r>
        </w:p>
      </w:tc>
    </w:tr>
    <w:tr w:rsidR="0004260C" w:rsidRPr="007D7C90" w:rsidTr="009C72AE">
      <w:trPr>
        <w:cantSplit/>
        <w:trHeight w:val="374"/>
      </w:trPr>
      <w:tc>
        <w:tcPr>
          <w:tcW w:w="10152" w:type="dxa"/>
          <w:gridSpan w:val="5"/>
          <w:vAlign w:val="center"/>
        </w:tcPr>
        <w:p w:rsidR="0004260C" w:rsidRPr="007D7C90" w:rsidRDefault="0004260C" w:rsidP="00066343">
          <w:pPr>
            <w:ind w:left="936" w:hanging="936"/>
            <w:jc w:val="both"/>
            <w:rPr>
              <w:b/>
            </w:rPr>
          </w:pPr>
          <w:r w:rsidRPr="007D7C90">
            <w:rPr>
              <w:b/>
            </w:rPr>
            <w:t xml:space="preserve">TITLE: </w:t>
          </w:r>
          <w:r w:rsidR="006A075E" w:rsidRPr="006B6B80">
            <w:rPr>
              <w:b/>
              <w:bCs/>
            </w:rPr>
            <w:t>REPROCESSING AND REWORKING</w:t>
          </w:r>
        </w:p>
      </w:tc>
    </w:tr>
  </w:tbl>
  <w:p w:rsidR="0004260C" w:rsidRPr="0004260C" w:rsidRDefault="0004260C" w:rsidP="0004260C">
    <w:pPr>
      <w:pStyle w:val="Header"/>
      <w:jc w:val="both"/>
      <w:rPr>
        <w:sz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5B4A0E" w:rsidP="007D7C90">
          <w:pPr>
            <w:jc w:val="center"/>
          </w:pPr>
          <w:fldSimple w:instr=" PAGE ">
            <w:r w:rsidR="005251EA">
              <w:rPr>
                <w:noProof/>
              </w:rPr>
              <w:t>1</w:t>
            </w:r>
          </w:fldSimple>
          <w:r w:rsidR="007D7C90" w:rsidRPr="007D7C90">
            <w:t xml:space="preserve"> of </w:t>
          </w:r>
          <w:fldSimple w:instr=" NUMPAGES ">
            <w:r w:rsidR="002A4997">
              <w:rPr>
                <w:noProof/>
              </w:rPr>
              <w:t>4</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3AA9"/>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nsid w:val="027E55A8"/>
    <w:multiLevelType w:val="hybridMultilevel"/>
    <w:tmpl w:val="D0749A9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D0975"/>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7FD2E9D"/>
    <w:multiLevelType w:val="hybridMultilevel"/>
    <w:tmpl w:val="15EA1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0731B"/>
    <w:multiLevelType w:val="hybridMultilevel"/>
    <w:tmpl w:val="9BD26034"/>
    <w:lvl w:ilvl="0" w:tplc="E1D2C56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237AD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10955181"/>
    <w:multiLevelType w:val="multilevel"/>
    <w:tmpl w:val="1502570C"/>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68E6BD6"/>
    <w:multiLevelType w:val="multilevel"/>
    <w:tmpl w:val="82C0A122"/>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8C86968"/>
    <w:multiLevelType w:val="multilevel"/>
    <w:tmpl w:val="780CF9B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C854D01"/>
    <w:multiLevelType w:val="multilevel"/>
    <w:tmpl w:val="D8B423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DFC7AA7"/>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0E105EB"/>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6">
    <w:nsid w:val="278300FD"/>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18">
    <w:nsid w:val="35B92AEA"/>
    <w:multiLevelType w:val="multilevel"/>
    <w:tmpl w:val="C82E2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36B574B2"/>
    <w:multiLevelType w:val="multilevel"/>
    <w:tmpl w:val="2058146C"/>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b w:val="0"/>
        <w:sz w:val="24"/>
        <w:szCs w:val="24"/>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38A0234D"/>
    <w:multiLevelType w:val="multilevel"/>
    <w:tmpl w:val="F376A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2">
    <w:nsid w:val="3B9514DF"/>
    <w:multiLevelType w:val="multilevel"/>
    <w:tmpl w:val="41C2F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25">
    <w:nsid w:val="47A67DA6"/>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49DF4583"/>
    <w:multiLevelType w:val="hybridMultilevel"/>
    <w:tmpl w:val="BFAA923E"/>
    <w:lvl w:ilvl="0" w:tplc="4009000F">
      <w:start w:val="1"/>
      <w:numFmt w:val="decimal"/>
      <w:lvlText w:val="%1."/>
      <w:lvlJc w:val="left"/>
      <w:pPr>
        <w:ind w:left="720" w:hanging="360"/>
      </w:pPr>
      <w:rPr>
        <w:rFonts w:hint="default"/>
      </w:rPr>
    </w:lvl>
    <w:lvl w:ilvl="1" w:tplc="F8D0D24C">
      <w:numFmt w:val="bullet"/>
      <w:lvlText w:val="-"/>
      <w:lvlJc w:val="left"/>
      <w:pPr>
        <w:ind w:left="1440" w:hanging="360"/>
      </w:pPr>
      <w:rPr>
        <w:rFonts w:ascii="Times New Roman" w:eastAsiaTheme="minorEastAsia"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29">
    <w:nsid w:val="55CF3D0C"/>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97F28FC"/>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1">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61647CAB"/>
    <w:multiLevelType w:val="multilevel"/>
    <w:tmpl w:val="19D8D0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nsid w:val="657C2101"/>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4">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5">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705E24B2"/>
    <w:multiLevelType w:val="multilevel"/>
    <w:tmpl w:val="274AC4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39">
    <w:nsid w:val="740F2BA0"/>
    <w:multiLevelType w:val="hybridMultilevel"/>
    <w:tmpl w:val="B86E0A18"/>
    <w:lvl w:ilvl="0" w:tplc="ED628D6A">
      <w:start w:val="1"/>
      <w:numFmt w:val="decimalZero"/>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41">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34"/>
  </w:num>
  <w:num w:numId="3">
    <w:abstractNumId w:val="40"/>
  </w:num>
  <w:num w:numId="4">
    <w:abstractNumId w:val="38"/>
  </w:num>
  <w:num w:numId="5">
    <w:abstractNumId w:val="26"/>
  </w:num>
  <w:num w:numId="6">
    <w:abstractNumId w:val="11"/>
  </w:num>
  <w:num w:numId="7">
    <w:abstractNumId w:val="19"/>
  </w:num>
  <w:num w:numId="8">
    <w:abstractNumId w:val="35"/>
  </w:num>
  <w:num w:numId="9">
    <w:abstractNumId w:val="37"/>
  </w:num>
  <w:num w:numId="10">
    <w:abstractNumId w:val="31"/>
  </w:num>
  <w:num w:numId="11">
    <w:abstractNumId w:val="24"/>
  </w:num>
  <w:num w:numId="12">
    <w:abstractNumId w:val="17"/>
  </w:num>
  <w:num w:numId="13">
    <w:abstractNumId w:val="10"/>
  </w:num>
  <w:num w:numId="14">
    <w:abstractNumId w:val="23"/>
  </w:num>
  <w:num w:numId="15">
    <w:abstractNumId w:val="6"/>
  </w:num>
  <w:num w:numId="16">
    <w:abstractNumId w:val="41"/>
  </w:num>
  <w:num w:numId="17">
    <w:abstractNumId w:val="28"/>
  </w:num>
  <w:num w:numId="18">
    <w:abstractNumId w:val="7"/>
  </w:num>
  <w:num w:numId="19">
    <w:abstractNumId w:val="12"/>
  </w:num>
  <w:num w:numId="20">
    <w:abstractNumId w:val="9"/>
  </w:num>
  <w:num w:numId="21">
    <w:abstractNumId w:val="4"/>
  </w:num>
  <w:num w:numId="22">
    <w:abstractNumId w:val="8"/>
  </w:num>
  <w:num w:numId="23">
    <w:abstractNumId w:val="20"/>
  </w:num>
  <w:num w:numId="24">
    <w:abstractNumId w:val="13"/>
  </w:num>
  <w:num w:numId="25">
    <w:abstractNumId w:val="5"/>
  </w:num>
  <w:num w:numId="26">
    <w:abstractNumId w:val="36"/>
  </w:num>
  <w:num w:numId="27">
    <w:abstractNumId w:val="18"/>
  </w:num>
  <w:num w:numId="28">
    <w:abstractNumId w:val="39"/>
  </w:num>
  <w:num w:numId="29">
    <w:abstractNumId w:val="3"/>
  </w:num>
  <w:num w:numId="30">
    <w:abstractNumId w:val="1"/>
  </w:num>
  <w:num w:numId="31">
    <w:abstractNumId w:val="22"/>
  </w:num>
  <w:num w:numId="32">
    <w:abstractNumId w:val="32"/>
  </w:num>
  <w:num w:numId="33">
    <w:abstractNumId w:val="25"/>
  </w:num>
  <w:num w:numId="34">
    <w:abstractNumId w:val="29"/>
  </w:num>
  <w:num w:numId="35">
    <w:abstractNumId w:val="16"/>
  </w:num>
  <w:num w:numId="36">
    <w:abstractNumId w:val="15"/>
  </w:num>
  <w:num w:numId="37">
    <w:abstractNumId w:val="0"/>
  </w:num>
  <w:num w:numId="38">
    <w:abstractNumId w:val="33"/>
  </w:num>
  <w:num w:numId="39">
    <w:abstractNumId w:val="30"/>
  </w:num>
  <w:num w:numId="40">
    <w:abstractNumId w:val="14"/>
  </w:num>
  <w:num w:numId="41">
    <w:abstractNumId w:val="27"/>
  </w:num>
  <w:num w:numId="4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00738">
      <o:colormenu v:ext="edit" strokecolor="none"/>
    </o:shapedefaults>
  </w:hdrShapeDefaults>
  <w:footnotePr>
    <w:footnote w:id="0"/>
    <w:footnote w:id="1"/>
  </w:footnotePr>
  <w:endnotePr>
    <w:endnote w:id="0"/>
    <w:endnote w:id="1"/>
  </w:endnotePr>
  <w:compat/>
  <w:rsids>
    <w:rsidRoot w:val="00DE6D09"/>
    <w:rsid w:val="00000D20"/>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AAF"/>
    <w:rsid w:val="00020B94"/>
    <w:rsid w:val="00020CA3"/>
    <w:rsid w:val="00022909"/>
    <w:rsid w:val="00023047"/>
    <w:rsid w:val="0002390F"/>
    <w:rsid w:val="00024E7A"/>
    <w:rsid w:val="00025D3C"/>
    <w:rsid w:val="0002653F"/>
    <w:rsid w:val="00026C2A"/>
    <w:rsid w:val="0002789C"/>
    <w:rsid w:val="00030477"/>
    <w:rsid w:val="00030B58"/>
    <w:rsid w:val="000311F9"/>
    <w:rsid w:val="00032789"/>
    <w:rsid w:val="00032AAE"/>
    <w:rsid w:val="00033271"/>
    <w:rsid w:val="00033408"/>
    <w:rsid w:val="00033827"/>
    <w:rsid w:val="0003389D"/>
    <w:rsid w:val="00033A5B"/>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753"/>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048C"/>
    <w:rsid w:val="000B19DC"/>
    <w:rsid w:val="000B2691"/>
    <w:rsid w:val="000B299A"/>
    <w:rsid w:val="000B344C"/>
    <w:rsid w:val="000B352C"/>
    <w:rsid w:val="000B3C9E"/>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1A97"/>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B64"/>
    <w:rsid w:val="00101C2A"/>
    <w:rsid w:val="00101E81"/>
    <w:rsid w:val="0010230E"/>
    <w:rsid w:val="00102AA0"/>
    <w:rsid w:val="00102F94"/>
    <w:rsid w:val="00103887"/>
    <w:rsid w:val="00103929"/>
    <w:rsid w:val="00103F86"/>
    <w:rsid w:val="00104ECB"/>
    <w:rsid w:val="00105401"/>
    <w:rsid w:val="0010690B"/>
    <w:rsid w:val="00106D37"/>
    <w:rsid w:val="00106DCE"/>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A58"/>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47C2C"/>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3BE5"/>
    <w:rsid w:val="00164730"/>
    <w:rsid w:val="001672DE"/>
    <w:rsid w:val="00167EAD"/>
    <w:rsid w:val="001716C9"/>
    <w:rsid w:val="00172349"/>
    <w:rsid w:val="00172D6C"/>
    <w:rsid w:val="00172F32"/>
    <w:rsid w:val="001750CA"/>
    <w:rsid w:val="00175101"/>
    <w:rsid w:val="001760D7"/>
    <w:rsid w:val="0017660C"/>
    <w:rsid w:val="00176BC9"/>
    <w:rsid w:val="00176C52"/>
    <w:rsid w:val="00176C56"/>
    <w:rsid w:val="001772CA"/>
    <w:rsid w:val="00177A71"/>
    <w:rsid w:val="00181013"/>
    <w:rsid w:val="00181945"/>
    <w:rsid w:val="001819AA"/>
    <w:rsid w:val="00182889"/>
    <w:rsid w:val="001832CA"/>
    <w:rsid w:val="0018497D"/>
    <w:rsid w:val="00184DCE"/>
    <w:rsid w:val="001861E1"/>
    <w:rsid w:val="00186816"/>
    <w:rsid w:val="00190E57"/>
    <w:rsid w:val="00192087"/>
    <w:rsid w:val="00192864"/>
    <w:rsid w:val="00192B49"/>
    <w:rsid w:val="00192DF9"/>
    <w:rsid w:val="00193D2D"/>
    <w:rsid w:val="0019529A"/>
    <w:rsid w:val="0019557A"/>
    <w:rsid w:val="00195E5C"/>
    <w:rsid w:val="001968B4"/>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430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6873"/>
    <w:rsid w:val="001F70D1"/>
    <w:rsid w:val="001F7B39"/>
    <w:rsid w:val="00200D9A"/>
    <w:rsid w:val="0020185D"/>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616"/>
    <w:rsid w:val="00252B5D"/>
    <w:rsid w:val="00253880"/>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E85"/>
    <w:rsid w:val="002754D8"/>
    <w:rsid w:val="00275992"/>
    <w:rsid w:val="0027684B"/>
    <w:rsid w:val="00276C6B"/>
    <w:rsid w:val="00277C11"/>
    <w:rsid w:val="00280272"/>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5B03"/>
    <w:rsid w:val="00296634"/>
    <w:rsid w:val="00297838"/>
    <w:rsid w:val="00297D02"/>
    <w:rsid w:val="00297FC5"/>
    <w:rsid w:val="002A023F"/>
    <w:rsid w:val="002A06C6"/>
    <w:rsid w:val="002A0D2B"/>
    <w:rsid w:val="002A0F19"/>
    <w:rsid w:val="002A1A48"/>
    <w:rsid w:val="002A1D21"/>
    <w:rsid w:val="002A239B"/>
    <w:rsid w:val="002A30D1"/>
    <w:rsid w:val="002A4997"/>
    <w:rsid w:val="002A51A0"/>
    <w:rsid w:val="002A5383"/>
    <w:rsid w:val="002A5D51"/>
    <w:rsid w:val="002A7740"/>
    <w:rsid w:val="002A7AAF"/>
    <w:rsid w:val="002B0809"/>
    <w:rsid w:val="002B1310"/>
    <w:rsid w:val="002B1439"/>
    <w:rsid w:val="002B23B6"/>
    <w:rsid w:val="002B30F0"/>
    <w:rsid w:val="002B3948"/>
    <w:rsid w:val="002B3B24"/>
    <w:rsid w:val="002B3EA4"/>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05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091"/>
    <w:rsid w:val="002F07EE"/>
    <w:rsid w:val="002F0D4E"/>
    <w:rsid w:val="002F1887"/>
    <w:rsid w:val="002F1B2F"/>
    <w:rsid w:val="002F307E"/>
    <w:rsid w:val="002F3CC5"/>
    <w:rsid w:val="002F3E31"/>
    <w:rsid w:val="002F5126"/>
    <w:rsid w:val="002F5133"/>
    <w:rsid w:val="002F53C4"/>
    <w:rsid w:val="002F7BE9"/>
    <w:rsid w:val="003004E4"/>
    <w:rsid w:val="00300D42"/>
    <w:rsid w:val="0030236B"/>
    <w:rsid w:val="003029EE"/>
    <w:rsid w:val="00302A3E"/>
    <w:rsid w:val="00303CDD"/>
    <w:rsid w:val="0030660A"/>
    <w:rsid w:val="00306F77"/>
    <w:rsid w:val="00307C43"/>
    <w:rsid w:val="003101A4"/>
    <w:rsid w:val="003108CC"/>
    <w:rsid w:val="00310931"/>
    <w:rsid w:val="003114C3"/>
    <w:rsid w:val="00311672"/>
    <w:rsid w:val="003123DD"/>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078B"/>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6FF9"/>
    <w:rsid w:val="003878C7"/>
    <w:rsid w:val="00387CE3"/>
    <w:rsid w:val="0039021E"/>
    <w:rsid w:val="00390554"/>
    <w:rsid w:val="00391248"/>
    <w:rsid w:val="00392823"/>
    <w:rsid w:val="00392992"/>
    <w:rsid w:val="0039415E"/>
    <w:rsid w:val="00394173"/>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FA8"/>
    <w:rsid w:val="003B37EE"/>
    <w:rsid w:val="003B3AA5"/>
    <w:rsid w:val="003B4EBC"/>
    <w:rsid w:val="003B5541"/>
    <w:rsid w:val="003B6629"/>
    <w:rsid w:val="003B7ADC"/>
    <w:rsid w:val="003C05BC"/>
    <w:rsid w:val="003C1F3E"/>
    <w:rsid w:val="003C25CD"/>
    <w:rsid w:val="003C3154"/>
    <w:rsid w:val="003C38EE"/>
    <w:rsid w:val="003C41AE"/>
    <w:rsid w:val="003C4F55"/>
    <w:rsid w:val="003C56E1"/>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07F01"/>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994"/>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2EB"/>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446"/>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7B8"/>
    <w:rsid w:val="00527F2D"/>
    <w:rsid w:val="00530280"/>
    <w:rsid w:val="00531A72"/>
    <w:rsid w:val="00533B4D"/>
    <w:rsid w:val="005341FA"/>
    <w:rsid w:val="00534806"/>
    <w:rsid w:val="00534DF6"/>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760"/>
    <w:rsid w:val="00550907"/>
    <w:rsid w:val="005513F5"/>
    <w:rsid w:val="005524BE"/>
    <w:rsid w:val="00552509"/>
    <w:rsid w:val="00552FBB"/>
    <w:rsid w:val="00552FC2"/>
    <w:rsid w:val="0055405B"/>
    <w:rsid w:val="00554821"/>
    <w:rsid w:val="00554CFC"/>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829"/>
    <w:rsid w:val="005A52A3"/>
    <w:rsid w:val="005A52CA"/>
    <w:rsid w:val="005A5B31"/>
    <w:rsid w:val="005A7A04"/>
    <w:rsid w:val="005A7E96"/>
    <w:rsid w:val="005B027D"/>
    <w:rsid w:val="005B0756"/>
    <w:rsid w:val="005B0968"/>
    <w:rsid w:val="005B1A8E"/>
    <w:rsid w:val="005B2765"/>
    <w:rsid w:val="005B2EC6"/>
    <w:rsid w:val="005B3EB1"/>
    <w:rsid w:val="005B43F7"/>
    <w:rsid w:val="005B4A0E"/>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115"/>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4FFF"/>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08A9"/>
    <w:rsid w:val="0064107A"/>
    <w:rsid w:val="006410E2"/>
    <w:rsid w:val="00641218"/>
    <w:rsid w:val="006427CC"/>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94"/>
    <w:rsid w:val="006578C1"/>
    <w:rsid w:val="00660187"/>
    <w:rsid w:val="0066045E"/>
    <w:rsid w:val="00660F04"/>
    <w:rsid w:val="006623A6"/>
    <w:rsid w:val="0066383D"/>
    <w:rsid w:val="00663A3B"/>
    <w:rsid w:val="00664F6E"/>
    <w:rsid w:val="00665425"/>
    <w:rsid w:val="006662FF"/>
    <w:rsid w:val="006667E6"/>
    <w:rsid w:val="00667FF3"/>
    <w:rsid w:val="00670A14"/>
    <w:rsid w:val="00670B79"/>
    <w:rsid w:val="00672C14"/>
    <w:rsid w:val="00672E93"/>
    <w:rsid w:val="006764BB"/>
    <w:rsid w:val="00676E61"/>
    <w:rsid w:val="006776E4"/>
    <w:rsid w:val="00680CC2"/>
    <w:rsid w:val="006813AF"/>
    <w:rsid w:val="00682D86"/>
    <w:rsid w:val="0068378B"/>
    <w:rsid w:val="006839EF"/>
    <w:rsid w:val="006845E3"/>
    <w:rsid w:val="006848CB"/>
    <w:rsid w:val="00685C83"/>
    <w:rsid w:val="00686280"/>
    <w:rsid w:val="0068659F"/>
    <w:rsid w:val="00687936"/>
    <w:rsid w:val="00690F78"/>
    <w:rsid w:val="00691F86"/>
    <w:rsid w:val="0069222E"/>
    <w:rsid w:val="00694E42"/>
    <w:rsid w:val="006954EF"/>
    <w:rsid w:val="006956E4"/>
    <w:rsid w:val="0069604B"/>
    <w:rsid w:val="00697BD5"/>
    <w:rsid w:val="006A0586"/>
    <w:rsid w:val="006A075E"/>
    <w:rsid w:val="006A11F7"/>
    <w:rsid w:val="006A1330"/>
    <w:rsid w:val="006A392B"/>
    <w:rsid w:val="006A44AE"/>
    <w:rsid w:val="006A4A9E"/>
    <w:rsid w:val="006A4B61"/>
    <w:rsid w:val="006A4E38"/>
    <w:rsid w:val="006A65D5"/>
    <w:rsid w:val="006A763B"/>
    <w:rsid w:val="006A7A63"/>
    <w:rsid w:val="006B0CAB"/>
    <w:rsid w:val="006B1FBF"/>
    <w:rsid w:val="006B23C3"/>
    <w:rsid w:val="006B2ADA"/>
    <w:rsid w:val="006B3C54"/>
    <w:rsid w:val="006B3CFC"/>
    <w:rsid w:val="006B4F2E"/>
    <w:rsid w:val="006B65B2"/>
    <w:rsid w:val="006B67EA"/>
    <w:rsid w:val="006B713F"/>
    <w:rsid w:val="006C02B4"/>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4BCF"/>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0EB"/>
    <w:rsid w:val="00740BFA"/>
    <w:rsid w:val="0074141E"/>
    <w:rsid w:val="007423C4"/>
    <w:rsid w:val="00742E6A"/>
    <w:rsid w:val="007436C1"/>
    <w:rsid w:val="00743B00"/>
    <w:rsid w:val="007449EA"/>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2922"/>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16C"/>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C09F8"/>
    <w:rsid w:val="007C2040"/>
    <w:rsid w:val="007C20E6"/>
    <w:rsid w:val="007C2B7B"/>
    <w:rsid w:val="007C42F8"/>
    <w:rsid w:val="007C4516"/>
    <w:rsid w:val="007C46D0"/>
    <w:rsid w:val="007C4D7F"/>
    <w:rsid w:val="007C56C4"/>
    <w:rsid w:val="007C582D"/>
    <w:rsid w:val="007C59EE"/>
    <w:rsid w:val="007C6433"/>
    <w:rsid w:val="007C6A71"/>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0D33"/>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6C84"/>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2FE"/>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E06"/>
    <w:rsid w:val="0088652D"/>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67E"/>
    <w:rsid w:val="008A1BF1"/>
    <w:rsid w:val="008A1C0A"/>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19CC"/>
    <w:rsid w:val="008C26ED"/>
    <w:rsid w:val="008C2874"/>
    <w:rsid w:val="008C28E8"/>
    <w:rsid w:val="008C2E2A"/>
    <w:rsid w:val="008C316B"/>
    <w:rsid w:val="008C66E1"/>
    <w:rsid w:val="008C6AF3"/>
    <w:rsid w:val="008C6D00"/>
    <w:rsid w:val="008C6E16"/>
    <w:rsid w:val="008C736A"/>
    <w:rsid w:val="008C7AB9"/>
    <w:rsid w:val="008D0B1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9D2"/>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ADC"/>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7DA"/>
    <w:rsid w:val="00931971"/>
    <w:rsid w:val="00931BC9"/>
    <w:rsid w:val="0093262F"/>
    <w:rsid w:val="00932880"/>
    <w:rsid w:val="00933A25"/>
    <w:rsid w:val="00933B5E"/>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E9E"/>
    <w:rsid w:val="00955D82"/>
    <w:rsid w:val="0095618B"/>
    <w:rsid w:val="00956D55"/>
    <w:rsid w:val="00957A8C"/>
    <w:rsid w:val="00957B70"/>
    <w:rsid w:val="009606D9"/>
    <w:rsid w:val="009610C1"/>
    <w:rsid w:val="00961F66"/>
    <w:rsid w:val="00961F9E"/>
    <w:rsid w:val="00962252"/>
    <w:rsid w:val="009622A5"/>
    <w:rsid w:val="00962994"/>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1A5"/>
    <w:rsid w:val="00975379"/>
    <w:rsid w:val="00975EDF"/>
    <w:rsid w:val="009765E9"/>
    <w:rsid w:val="0097685A"/>
    <w:rsid w:val="0097728A"/>
    <w:rsid w:val="00980353"/>
    <w:rsid w:val="00980914"/>
    <w:rsid w:val="00983409"/>
    <w:rsid w:val="009837A2"/>
    <w:rsid w:val="00983C94"/>
    <w:rsid w:val="00984FC2"/>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45F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C72AE"/>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2544"/>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BF6"/>
    <w:rsid w:val="00A24810"/>
    <w:rsid w:val="00A258DD"/>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7EEB"/>
    <w:rsid w:val="00A90B9A"/>
    <w:rsid w:val="00A90EF7"/>
    <w:rsid w:val="00A91023"/>
    <w:rsid w:val="00A915BD"/>
    <w:rsid w:val="00A917C9"/>
    <w:rsid w:val="00A9187B"/>
    <w:rsid w:val="00A918E6"/>
    <w:rsid w:val="00A9244D"/>
    <w:rsid w:val="00A9275E"/>
    <w:rsid w:val="00A93922"/>
    <w:rsid w:val="00A93C91"/>
    <w:rsid w:val="00A94E95"/>
    <w:rsid w:val="00A95801"/>
    <w:rsid w:val="00A9598B"/>
    <w:rsid w:val="00A9619C"/>
    <w:rsid w:val="00AA0059"/>
    <w:rsid w:val="00AA0731"/>
    <w:rsid w:val="00AA08AD"/>
    <w:rsid w:val="00AA1917"/>
    <w:rsid w:val="00AA2A0D"/>
    <w:rsid w:val="00AA2CC4"/>
    <w:rsid w:val="00AA4741"/>
    <w:rsid w:val="00AA55F2"/>
    <w:rsid w:val="00AA6789"/>
    <w:rsid w:val="00AA6CD6"/>
    <w:rsid w:val="00AA75DF"/>
    <w:rsid w:val="00AA7FA4"/>
    <w:rsid w:val="00AB00DA"/>
    <w:rsid w:val="00AB01AE"/>
    <w:rsid w:val="00AB0D6E"/>
    <w:rsid w:val="00AB0F44"/>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095"/>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51945"/>
    <w:rsid w:val="00B535C1"/>
    <w:rsid w:val="00B53C58"/>
    <w:rsid w:val="00B53C85"/>
    <w:rsid w:val="00B56037"/>
    <w:rsid w:val="00B56134"/>
    <w:rsid w:val="00B56412"/>
    <w:rsid w:val="00B566EF"/>
    <w:rsid w:val="00B56FF9"/>
    <w:rsid w:val="00B60A21"/>
    <w:rsid w:val="00B63066"/>
    <w:rsid w:val="00B638CF"/>
    <w:rsid w:val="00B64B15"/>
    <w:rsid w:val="00B672C9"/>
    <w:rsid w:val="00B675C5"/>
    <w:rsid w:val="00B67B33"/>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1CAD"/>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0E2A"/>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625A"/>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7123"/>
    <w:rsid w:val="00C97AA2"/>
    <w:rsid w:val="00C97EB0"/>
    <w:rsid w:val="00CA03CE"/>
    <w:rsid w:val="00CA0951"/>
    <w:rsid w:val="00CA0A28"/>
    <w:rsid w:val="00CA13F0"/>
    <w:rsid w:val="00CA181F"/>
    <w:rsid w:val="00CA1A8E"/>
    <w:rsid w:val="00CA2BB5"/>
    <w:rsid w:val="00CA3911"/>
    <w:rsid w:val="00CA54AC"/>
    <w:rsid w:val="00CA611C"/>
    <w:rsid w:val="00CA63FF"/>
    <w:rsid w:val="00CA7686"/>
    <w:rsid w:val="00CA76C0"/>
    <w:rsid w:val="00CB0203"/>
    <w:rsid w:val="00CB088C"/>
    <w:rsid w:val="00CB3640"/>
    <w:rsid w:val="00CB44F8"/>
    <w:rsid w:val="00CB5650"/>
    <w:rsid w:val="00CB573E"/>
    <w:rsid w:val="00CB585C"/>
    <w:rsid w:val="00CB6090"/>
    <w:rsid w:val="00CC002E"/>
    <w:rsid w:val="00CC10DE"/>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1F81"/>
    <w:rsid w:val="00CF32D3"/>
    <w:rsid w:val="00CF344B"/>
    <w:rsid w:val="00CF3540"/>
    <w:rsid w:val="00CF3DAD"/>
    <w:rsid w:val="00CF40EE"/>
    <w:rsid w:val="00CF4B58"/>
    <w:rsid w:val="00CF6068"/>
    <w:rsid w:val="00CF753C"/>
    <w:rsid w:val="00CF7D88"/>
    <w:rsid w:val="00D011BA"/>
    <w:rsid w:val="00D0278B"/>
    <w:rsid w:val="00D0361C"/>
    <w:rsid w:val="00D0657F"/>
    <w:rsid w:val="00D06B20"/>
    <w:rsid w:val="00D06CD5"/>
    <w:rsid w:val="00D10076"/>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3D7"/>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6B6"/>
    <w:rsid w:val="00D61995"/>
    <w:rsid w:val="00D61A4F"/>
    <w:rsid w:val="00D61F33"/>
    <w:rsid w:val="00D62075"/>
    <w:rsid w:val="00D62595"/>
    <w:rsid w:val="00D62835"/>
    <w:rsid w:val="00D638B7"/>
    <w:rsid w:val="00D645FC"/>
    <w:rsid w:val="00D66171"/>
    <w:rsid w:val="00D6674F"/>
    <w:rsid w:val="00D7009C"/>
    <w:rsid w:val="00D70F0D"/>
    <w:rsid w:val="00D71CD3"/>
    <w:rsid w:val="00D72F8D"/>
    <w:rsid w:val="00D72FE2"/>
    <w:rsid w:val="00D73628"/>
    <w:rsid w:val="00D73B0C"/>
    <w:rsid w:val="00D75BA4"/>
    <w:rsid w:val="00D75E11"/>
    <w:rsid w:val="00D760A2"/>
    <w:rsid w:val="00D76304"/>
    <w:rsid w:val="00D76604"/>
    <w:rsid w:val="00D76948"/>
    <w:rsid w:val="00D76A1F"/>
    <w:rsid w:val="00D8082E"/>
    <w:rsid w:val="00D80B68"/>
    <w:rsid w:val="00D81B3F"/>
    <w:rsid w:val="00D81C12"/>
    <w:rsid w:val="00D821C4"/>
    <w:rsid w:val="00D83333"/>
    <w:rsid w:val="00D8435D"/>
    <w:rsid w:val="00D8449B"/>
    <w:rsid w:val="00D848F8"/>
    <w:rsid w:val="00D870FC"/>
    <w:rsid w:val="00D87553"/>
    <w:rsid w:val="00D900F7"/>
    <w:rsid w:val="00D90409"/>
    <w:rsid w:val="00D90660"/>
    <w:rsid w:val="00D909CF"/>
    <w:rsid w:val="00D91077"/>
    <w:rsid w:val="00D923CD"/>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09BF"/>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0EA"/>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5989"/>
    <w:rsid w:val="00ED7D02"/>
    <w:rsid w:val="00EE05C5"/>
    <w:rsid w:val="00EE171B"/>
    <w:rsid w:val="00EE1B61"/>
    <w:rsid w:val="00EE29F0"/>
    <w:rsid w:val="00EE418A"/>
    <w:rsid w:val="00EE454D"/>
    <w:rsid w:val="00EE55B0"/>
    <w:rsid w:val="00EE5914"/>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8D4"/>
    <w:rsid w:val="00F06A5B"/>
    <w:rsid w:val="00F075E6"/>
    <w:rsid w:val="00F07A35"/>
    <w:rsid w:val="00F07A41"/>
    <w:rsid w:val="00F07D54"/>
    <w:rsid w:val="00F10B24"/>
    <w:rsid w:val="00F11404"/>
    <w:rsid w:val="00F1142C"/>
    <w:rsid w:val="00F121EF"/>
    <w:rsid w:val="00F12225"/>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49F4"/>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A10"/>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3CDB"/>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87D50"/>
    <w:rsid w:val="00F87FB6"/>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3DBD"/>
    <w:rsid w:val="00FD4F49"/>
    <w:rsid w:val="00FD53BD"/>
    <w:rsid w:val="00FD7025"/>
    <w:rsid w:val="00FD7E8E"/>
    <w:rsid w:val="00FE1045"/>
    <w:rsid w:val="00FE198D"/>
    <w:rsid w:val="00FE2383"/>
    <w:rsid w:val="00FE23F4"/>
    <w:rsid w:val="00FE3017"/>
    <w:rsid w:val="00FE3336"/>
    <w:rsid w:val="00FE3D63"/>
    <w:rsid w:val="00FE44DB"/>
    <w:rsid w:val="00FE61E5"/>
    <w:rsid w:val="00FE68A9"/>
    <w:rsid w:val="00FE6DFC"/>
    <w:rsid w:val="00FF0D97"/>
    <w:rsid w:val="00FF3423"/>
    <w:rsid w:val="00FF34DB"/>
    <w:rsid w:val="00FF3E4B"/>
    <w:rsid w:val="00FF4A78"/>
    <w:rsid w:val="00FF4AA1"/>
    <w:rsid w:val="00FF58F3"/>
    <w:rsid w:val="00FF6C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07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009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3073</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subject/>
  <dc:creator>Shankar</dc:creator>
  <cp:keywords/>
  <cp:lastModifiedBy>admin</cp:lastModifiedBy>
  <cp:revision>1976</cp:revision>
  <cp:lastPrinted>2017-10-24T05:26:00Z</cp:lastPrinted>
  <dcterms:created xsi:type="dcterms:W3CDTF">2012-09-11T07:20:00Z</dcterms:created>
  <dcterms:modified xsi:type="dcterms:W3CDTF">2017-10-24T05:26:00Z</dcterms:modified>
</cp:coreProperties>
</file>