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numPr>
          <w:ilvl w:val="0"/>
          <w:numId w:val="1"/>
        </w:numPr>
        <w:tabs>
          <w:tab w:val="clear" w:pos="720"/>
        </w:tabs>
        <w:spacing w:line="360" w:lineRule="auto"/>
        <w:ind w:left="567" w:hanging="567"/>
        <w:jc w:val="both"/>
        <w:rPr>
          <w:color w:val="000000" w:themeColor="text1"/>
        </w:rPr>
      </w:pPr>
      <w:r>
        <w:rPr>
          <w:b/>
          <w:color w:val="000000" w:themeColor="text1"/>
        </w:rPr>
        <w:t>PURPOSE:</w:t>
      </w:r>
    </w:p>
    <w:p>
      <w:pPr>
        <w:keepNext/>
        <w:spacing w:line="360" w:lineRule="auto"/>
        <w:ind w:left="567"/>
        <w:jc w:val="both"/>
        <w:rPr>
          <w:color w:val="000000" w:themeColor="text1"/>
        </w:rPr>
      </w:pPr>
      <w:r>
        <w:rPr>
          <w:color w:val="000000" w:themeColor="text1"/>
        </w:rPr>
        <w:t>To lay down the Procedure for Qualification of External Laboratories.</w:t>
      </w:r>
    </w:p>
    <w:p>
      <w:pPr>
        <w:keepNext/>
        <w:numPr>
          <w:ilvl w:val="0"/>
          <w:numId w:val="1"/>
        </w:numPr>
        <w:tabs>
          <w:tab w:val="clear" w:pos="720"/>
        </w:tabs>
        <w:spacing w:line="360" w:lineRule="auto"/>
        <w:ind w:left="567" w:hanging="567"/>
        <w:jc w:val="both"/>
        <w:rPr>
          <w:color w:val="000000" w:themeColor="text1"/>
        </w:rPr>
      </w:pPr>
      <w:r>
        <w:rPr>
          <w:b/>
          <w:color w:val="000000" w:themeColor="text1"/>
        </w:rPr>
        <w:t>SCOPE:</w:t>
      </w:r>
    </w:p>
    <w:p>
      <w:pPr>
        <w:keepNext/>
        <w:spacing w:line="360" w:lineRule="auto"/>
        <w:ind w:left="567"/>
        <w:jc w:val="both"/>
        <w:rPr>
          <w:color w:val="000000" w:themeColor="text1"/>
        </w:rPr>
      </w:pPr>
      <w:r>
        <w:rPr>
          <w:color w:val="000000" w:themeColor="text1"/>
        </w:rPr>
        <w:t xml:space="preserve">This procedure is applicable for </w:t>
      </w:r>
      <w:r>
        <w:rPr>
          <w:color w:val="000000"/>
        </w:rPr>
        <w:t xml:space="preserve">assessment and approval of external laboratories or services providers those have a potential major impact on the quality of products </w:t>
      </w:r>
      <w:r>
        <w:rPr>
          <w:color w:val="000000" w:themeColor="text1"/>
        </w:rPr>
        <w:t>at Discovery Laboratories Pvt. Ltd.</w:t>
      </w:r>
    </w:p>
    <w:p>
      <w:pPr>
        <w:keepNext/>
        <w:numPr>
          <w:ilvl w:val="0"/>
          <w:numId w:val="1"/>
        </w:numPr>
        <w:tabs>
          <w:tab w:val="clear" w:pos="720"/>
        </w:tabs>
        <w:spacing w:line="360" w:lineRule="auto"/>
        <w:ind w:left="567" w:hanging="567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RESPONSIBILITY: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b/>
          <w:color w:val="000000" w:themeColor="text1"/>
        </w:rPr>
      </w:pPr>
      <w:r>
        <w:rPr>
          <w:color w:val="000000"/>
        </w:rPr>
        <w:t>Quality control and Engineering shall be responsible to prepare, maintain and update the Approved service providers list for services identified.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b/>
          <w:color w:val="000000" w:themeColor="text1"/>
        </w:rPr>
      </w:pPr>
      <w:r>
        <w:rPr>
          <w:color w:val="000000"/>
        </w:rPr>
        <w:t>Purchase team shall identify the prospective service providers and support in facilitating assessment and audit of the site.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b/>
          <w:color w:val="000000" w:themeColor="text1"/>
        </w:rPr>
      </w:pPr>
      <w:r>
        <w:rPr>
          <w:color w:val="000000"/>
        </w:rPr>
        <w:t xml:space="preserve">QA shall be responsible to approve the service provider’s list and audit report. 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b/>
          <w:color w:val="000000" w:themeColor="text1"/>
        </w:rPr>
      </w:pPr>
      <w:r>
        <w:rPr>
          <w:color w:val="000000"/>
        </w:rPr>
        <w:t>QA shall lead the quality audit for the services identified for approval process.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b/>
          <w:color w:val="000000" w:themeColor="text1"/>
        </w:rPr>
      </w:pPr>
      <w:r>
        <w:rPr>
          <w:color w:val="000000"/>
        </w:rPr>
        <w:t>QA shall track the completion of periodical audits, CAPA arising from the audits.</w:t>
      </w:r>
    </w:p>
    <w:p>
      <w:pPr>
        <w:keepNext/>
        <w:numPr>
          <w:ilvl w:val="0"/>
          <w:numId w:val="1"/>
        </w:numPr>
        <w:tabs>
          <w:tab w:val="clear" w:pos="720"/>
        </w:tabs>
        <w:spacing w:line="360" w:lineRule="auto"/>
        <w:ind w:left="567" w:hanging="567"/>
        <w:jc w:val="both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Definitions:</w:t>
      </w:r>
    </w:p>
    <w:p>
      <w:pPr>
        <w:keepNext/>
        <w:spacing w:line="360" w:lineRule="auto"/>
        <w:ind w:left="567"/>
        <w:jc w:val="both"/>
        <w:rPr>
          <w:b/>
          <w:caps/>
          <w:color w:val="000000" w:themeColor="text1"/>
        </w:rPr>
      </w:pPr>
      <w:r>
        <w:rPr>
          <w:color w:val="000000" w:themeColor="text1"/>
        </w:rPr>
        <w:t>Nil</w:t>
      </w:r>
    </w:p>
    <w:p>
      <w:pPr>
        <w:keepNext/>
        <w:numPr>
          <w:ilvl w:val="0"/>
          <w:numId w:val="1"/>
        </w:numPr>
        <w:tabs>
          <w:tab w:val="clear" w:pos="720"/>
        </w:tabs>
        <w:spacing w:line="360" w:lineRule="auto"/>
        <w:ind w:left="567" w:hanging="567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PROCEDURE: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b/>
          <w:color w:val="000000" w:themeColor="text1"/>
        </w:rPr>
      </w:pPr>
      <w:r>
        <w:rPr>
          <w:color w:val="000000"/>
        </w:rPr>
        <w:t>Service providers are the external testing laboratories, external calibration agencies and external services like pest control, cleaning agencies etc..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/>
        </w:rPr>
      </w:pPr>
      <w:r>
        <w:rPr>
          <w:color w:val="000000"/>
        </w:rPr>
        <w:t>Services that are considered potential major impact on product quality shall be identified and approved.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b/>
          <w:color w:val="000000" w:themeColor="text1"/>
        </w:rPr>
      </w:pPr>
      <w:r>
        <w:rPr>
          <w:color w:val="000000"/>
        </w:rPr>
        <w:t>Identify</w:t>
      </w:r>
      <w:r>
        <w:rPr>
          <w:color w:val="000000" w:themeColor="text1"/>
        </w:rPr>
        <w:t xml:space="preserve"> service providers based upon the test/ calibration requirements, where such instruments/ methods is not available at in-house and / or during break down of such instruments.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/>
        </w:rPr>
      </w:pPr>
      <w:r>
        <w:rPr>
          <w:color w:val="000000"/>
        </w:rPr>
        <w:t>Purchase team shall identify the service provides based on user requirement like Quality control sample testing, pest control agencies, calibration agencies, cleaning service providers etc..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/>
        </w:rPr>
      </w:pPr>
      <w:r>
        <w:rPr>
          <w:color w:val="000000"/>
        </w:rPr>
        <w:t>An assessment shall carry out to understand the service provider’s ability to meet the Discovery specifications by getting the documents from the service providers.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/>
        </w:rPr>
      </w:pPr>
      <w:r>
        <w:rPr>
          <w:color w:val="000000"/>
        </w:rPr>
        <w:t xml:space="preserve">Quality Assurance department shall plan the audit at external laboratory / calibration agency to evaluate for systems, procedures and compliance with coordination of respective user department. Check list format No QA029-FM119 shall be followed to accesses the Quality control testing laboratories and for external calibration agencies. 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/>
        </w:rPr>
      </w:pPr>
      <w:r>
        <w:rPr>
          <w:color w:val="000000"/>
        </w:rPr>
        <w:t>Get the confirmation of audit dates with the facility owner, QA along with user department (based on necessity) shall audit the facility with the help of audit checklist.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b/>
          <w:color w:val="000000" w:themeColor="text1"/>
        </w:rPr>
      </w:pPr>
      <w:r>
        <w:rPr>
          <w:color w:val="000000"/>
        </w:rPr>
        <w:t>The key</w:t>
      </w:r>
      <w:r>
        <w:t xml:space="preserve"> points that require consideration during audits shall include the following </w:t>
      </w:r>
      <w:r>
        <w:rPr>
          <w:color w:val="000000"/>
        </w:rPr>
        <w:t>but not limited to</w:t>
      </w:r>
      <w:r>
        <w:t>:</w:t>
      </w:r>
    </w:p>
    <w:p>
      <w:pPr>
        <w:keepNext/>
        <w:numPr>
          <w:ilvl w:val="2"/>
          <w:numId w:val="1"/>
        </w:numPr>
        <w:tabs>
          <w:tab w:val="clear" w:pos="720"/>
        </w:tabs>
        <w:spacing w:line="360" w:lineRule="auto"/>
        <w:ind w:left="1843"/>
        <w:jc w:val="both"/>
      </w:pPr>
      <w:r>
        <w:t>Adequate premises, equipment, systems and services</w:t>
      </w:r>
    </w:p>
    <w:p>
      <w:pPr>
        <w:keepNext/>
        <w:numPr>
          <w:ilvl w:val="2"/>
          <w:numId w:val="1"/>
        </w:numPr>
        <w:tabs>
          <w:tab w:val="clear" w:pos="720"/>
        </w:tabs>
        <w:spacing w:line="360" w:lineRule="auto"/>
        <w:ind w:left="1843"/>
        <w:jc w:val="both"/>
      </w:pPr>
      <w:r>
        <w:t>Written procedures as applicable and records for receipt, testing, results reporting, handling deviations etc.</w:t>
      </w:r>
    </w:p>
    <w:p>
      <w:pPr>
        <w:keepNext/>
        <w:numPr>
          <w:ilvl w:val="2"/>
          <w:numId w:val="1"/>
        </w:numPr>
        <w:tabs>
          <w:tab w:val="clear" w:pos="720"/>
        </w:tabs>
        <w:spacing w:line="360" w:lineRule="auto"/>
        <w:ind w:left="1843"/>
        <w:jc w:val="both"/>
      </w:pPr>
      <w:r>
        <w:t>Calibration of instruments and calibration methods used by the agency are as per the national / international standards, if any</w:t>
      </w:r>
    </w:p>
    <w:p>
      <w:pPr>
        <w:keepNext/>
        <w:numPr>
          <w:ilvl w:val="2"/>
          <w:numId w:val="1"/>
        </w:numPr>
        <w:tabs>
          <w:tab w:val="clear" w:pos="720"/>
        </w:tabs>
        <w:spacing w:line="360" w:lineRule="auto"/>
        <w:ind w:left="1843"/>
        <w:jc w:val="both"/>
      </w:pPr>
      <w:r>
        <w:t>Adequate staff with sufficient knowledge, skills, training, experience and demonstrate overall technical competence.</w:t>
      </w:r>
    </w:p>
    <w:p>
      <w:pPr>
        <w:keepNext/>
        <w:numPr>
          <w:ilvl w:val="2"/>
          <w:numId w:val="1"/>
        </w:numPr>
        <w:tabs>
          <w:tab w:val="clear" w:pos="720"/>
        </w:tabs>
        <w:spacing w:line="360" w:lineRule="auto"/>
        <w:ind w:left="1843"/>
        <w:jc w:val="both"/>
      </w:pPr>
      <w:r>
        <w:t xml:space="preserve">Maintains appropriate technical standards and has the ability to consistently meet requirements. </w:t>
      </w:r>
      <w:r>
        <w:tab/>
      </w:r>
    </w:p>
    <w:p>
      <w:pPr>
        <w:keepNext/>
        <w:numPr>
          <w:ilvl w:val="2"/>
          <w:numId w:val="1"/>
        </w:numPr>
        <w:tabs>
          <w:tab w:val="clear" w:pos="720"/>
        </w:tabs>
        <w:spacing w:line="360" w:lineRule="auto"/>
        <w:ind w:left="1843"/>
        <w:jc w:val="both"/>
      </w:pPr>
      <w:r>
        <w:t>Qualification &amp; Calibration of master instruments and preventive maintenance program.</w:t>
      </w:r>
    </w:p>
    <w:p>
      <w:pPr>
        <w:keepNext/>
        <w:numPr>
          <w:ilvl w:val="2"/>
          <w:numId w:val="1"/>
        </w:numPr>
        <w:tabs>
          <w:tab w:val="clear" w:pos="720"/>
        </w:tabs>
        <w:spacing w:line="360" w:lineRule="auto"/>
        <w:ind w:left="1843"/>
        <w:jc w:val="both"/>
      </w:pPr>
      <w:r>
        <w:t xml:space="preserve">Usage of standard chemicals and licenses 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/>
        </w:rPr>
      </w:pPr>
      <w:r>
        <w:rPr>
          <w:color w:val="000000"/>
        </w:rPr>
        <w:t>In case of pest control service provider, the auditor shall ensure the training of employees, chemical and their dosage and antidotes requirements and procedure for handling of rodents.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/>
        </w:rPr>
      </w:pPr>
      <w:r>
        <w:rPr>
          <w:color w:val="000000"/>
        </w:rPr>
        <w:t>In case of any Non-Compliance observed in the audit, the auditor shall raise a Non-Compliance Report as per the format No. QA029-FM120, suitable CAPA shall be obtained from the service provider.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/>
        </w:rPr>
      </w:pPr>
      <w:r>
        <w:rPr>
          <w:color w:val="000000"/>
        </w:rPr>
        <w:t>An audit report shall be prepared based on audit checklist and shall be submitted to Head-Quality or designee.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/>
        </w:rPr>
      </w:pPr>
      <w:r>
        <w:rPr>
          <w:color w:val="000000"/>
        </w:rPr>
        <w:t>Head-Quality or designee shall evaluate the audit report and ensure that corrective and preventive actions for non-conformance are completed from respective service provider.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/>
        </w:rPr>
      </w:pPr>
      <w:r>
        <w:rPr>
          <w:color w:val="000000"/>
        </w:rPr>
        <w:t>After approving the external laboratory, list of approved contract service providers shall be updated in QA029-FM098.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/>
        </w:rPr>
      </w:pPr>
      <w:r>
        <w:rPr>
          <w:color w:val="000000"/>
        </w:rPr>
        <w:t xml:space="preserve">The version number shall start from 01 and shall be incremented by one.  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/>
        </w:rPr>
      </w:pPr>
      <w:r>
        <w:rPr>
          <w:color w:val="000000"/>
        </w:rPr>
        <w:t>The original signed copy of the list shall be available with QA. Distribute controlled copies as per requirement.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</w:pPr>
      <w:r>
        <w:rPr>
          <w:color w:val="000000"/>
        </w:rPr>
        <w:t>A contractual agreement shall be prepared and signed by both contract giver and contract accepter as per the format No. QA029-FM094. The terms and condition like frequency of service, documents need to produce etc…shall be defined based nature of service like</w:t>
      </w:r>
      <w:r>
        <w:rPr>
          <w:color w:val="000000" w:themeColor="text1"/>
        </w:rPr>
        <w:t xml:space="preserve"> testing, calibrations, pest control, cleaning. 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/>
        </w:rPr>
      </w:pPr>
      <w:r>
        <w:rPr>
          <w:color w:val="000000" w:themeColor="text1"/>
        </w:rPr>
        <w:t xml:space="preserve">In </w:t>
      </w:r>
      <w:r>
        <w:rPr>
          <w:color w:val="000000"/>
        </w:rPr>
        <w:t>case any additional tests (other than the previously audited tests) are to be carried out at the contract lab, the lab shall be re-evaluated for the competency to carry out the new test.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/>
        </w:rPr>
      </w:pPr>
      <w:r>
        <w:rPr>
          <w:color w:val="000000"/>
        </w:rPr>
        <w:t>All Quality control samples, which sent outside shall be tracked and shall maintain test sample out ward register as per the format No. QA029-FM084, for the samples and outsourced calibrated instruments record as per the Format No. QA029-FM121, for instruments sent to outside test/ calibration labs. Receive the test/ calibration (along with copies of international standards) reports.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/>
        </w:rPr>
      </w:pPr>
      <w:r>
        <w:rPr>
          <w:color w:val="000000"/>
        </w:rPr>
        <w:t>Relevant department personnel shall review and accept the reports/ certificates, put reviewed stamp and sign as a part of acceptance of the same. Test reports shall attach to the concerned batch and file as per requirement.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/>
        </w:rPr>
      </w:pPr>
      <w:r>
        <w:rPr>
          <w:color w:val="000000"/>
        </w:rPr>
        <w:t>The national standard certificates shall be obtained from the service provider to ensure the calibration of instruments used for testing / calibration, if required.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 w:themeColor="text1"/>
        </w:rPr>
      </w:pPr>
      <w:r>
        <w:rPr>
          <w:color w:val="000000"/>
        </w:rPr>
        <w:t>If the government agencies calibrate the instrument, such services providers need not be qualified by in</w:t>
      </w:r>
      <w:r>
        <w:rPr>
          <w:color w:val="000000" w:themeColor="text1"/>
        </w:rPr>
        <w:t>ternal procedures.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 w:themeColor="text1"/>
        </w:rPr>
      </w:pPr>
      <w:r>
        <w:rPr>
          <w:b/>
          <w:color w:val="000000" w:themeColor="text1"/>
        </w:rPr>
        <w:t>Handling of samples being sent, Receipt and Review of External Laboratory results:</w:t>
      </w:r>
    </w:p>
    <w:p>
      <w:pPr>
        <w:keepNext/>
        <w:numPr>
          <w:ilvl w:val="2"/>
          <w:numId w:val="1"/>
        </w:numPr>
        <w:tabs>
          <w:tab w:val="clear" w:pos="720"/>
        </w:tabs>
        <w:spacing w:line="360" w:lineRule="auto"/>
        <w:ind w:left="1985" w:hanging="851"/>
        <w:jc w:val="both"/>
        <w:rPr>
          <w:color w:val="000000" w:themeColor="text1"/>
        </w:rPr>
      </w:pPr>
      <w:r>
        <w:rPr>
          <w:color w:val="000000" w:themeColor="text1"/>
        </w:rPr>
        <w:t>Samples shall be sent only to qualify Contract Laboratory as listed.</w:t>
      </w:r>
    </w:p>
    <w:p>
      <w:pPr>
        <w:keepNext/>
        <w:numPr>
          <w:ilvl w:val="2"/>
          <w:numId w:val="1"/>
        </w:numPr>
        <w:tabs>
          <w:tab w:val="clear" w:pos="720"/>
        </w:tabs>
        <w:spacing w:line="360" w:lineRule="auto"/>
        <w:ind w:left="1985" w:hanging="851"/>
        <w:jc w:val="both"/>
        <w:rPr>
          <w:color w:val="000000" w:themeColor="text1"/>
        </w:rPr>
      </w:pPr>
      <w:r>
        <w:rPr>
          <w:color w:val="000000" w:themeColor="text1"/>
        </w:rPr>
        <w:t xml:space="preserve">The required quantity of sample shall be suitable container and labeled as “Sample information label” </w:t>
      </w:r>
    </w:p>
    <w:p>
      <w:pPr>
        <w:keepNext/>
        <w:numPr>
          <w:ilvl w:val="2"/>
          <w:numId w:val="1"/>
        </w:numPr>
        <w:tabs>
          <w:tab w:val="clear" w:pos="720"/>
        </w:tabs>
        <w:spacing w:line="360" w:lineRule="auto"/>
        <w:ind w:left="1985" w:hanging="851"/>
        <w:jc w:val="both"/>
        <w:rPr>
          <w:color w:val="000000" w:themeColor="text1"/>
        </w:rPr>
      </w:pPr>
      <w:r>
        <w:rPr>
          <w:color w:val="000000" w:themeColor="text1"/>
        </w:rPr>
        <w:t>Communication with details of samples to be sent for analysis shall be prepared and a copy of the relevant standard test procedure shall also be enclosed along with the communication, if required.</w:t>
      </w:r>
    </w:p>
    <w:p>
      <w:pPr>
        <w:keepNext/>
        <w:numPr>
          <w:ilvl w:val="2"/>
          <w:numId w:val="1"/>
        </w:numPr>
        <w:tabs>
          <w:tab w:val="clear" w:pos="720"/>
        </w:tabs>
        <w:spacing w:line="360" w:lineRule="auto"/>
        <w:ind w:left="1985" w:hanging="851"/>
        <w:jc w:val="both"/>
        <w:rPr>
          <w:color w:val="000000" w:themeColor="text1"/>
        </w:rPr>
      </w:pPr>
      <w:r>
        <w:rPr>
          <w:color w:val="000000" w:themeColor="text1"/>
        </w:rPr>
        <w:t>Necessary Working standards with the complete label details shall be sent to Contract testing Laboratories along with the sample, wherever required.</w:t>
      </w:r>
    </w:p>
    <w:p>
      <w:pPr>
        <w:keepNext/>
        <w:numPr>
          <w:ilvl w:val="2"/>
          <w:numId w:val="1"/>
        </w:numPr>
        <w:tabs>
          <w:tab w:val="clear" w:pos="720"/>
        </w:tabs>
        <w:spacing w:line="360" w:lineRule="auto"/>
        <w:ind w:left="1985" w:hanging="851"/>
        <w:jc w:val="both"/>
        <w:rPr>
          <w:color w:val="000000" w:themeColor="text1"/>
        </w:rPr>
      </w:pPr>
      <w:r>
        <w:rPr>
          <w:color w:val="000000" w:themeColor="text1"/>
        </w:rPr>
        <w:t>Details of sample and required test shall be entered in External Laboratory Analysis provided by Contract Laboratory and enter the details in Test Samples out ward register.</w:t>
      </w:r>
    </w:p>
    <w:p>
      <w:pPr>
        <w:keepNext/>
        <w:numPr>
          <w:ilvl w:val="2"/>
          <w:numId w:val="1"/>
        </w:numPr>
        <w:tabs>
          <w:tab w:val="clear" w:pos="720"/>
        </w:tabs>
        <w:spacing w:line="360" w:lineRule="auto"/>
        <w:ind w:left="1985" w:hanging="851"/>
        <w:jc w:val="both"/>
        <w:rPr>
          <w:color w:val="FF0000"/>
        </w:rPr>
      </w:pPr>
      <w:r>
        <w:rPr>
          <w:color w:val="000000" w:themeColor="text1"/>
        </w:rPr>
        <w:t>After receipt of Report shall be reviewed for correctness and completeness. Reviewed Stamp shall be put on COA by QA/QC.</w:t>
      </w:r>
    </w:p>
    <w:p>
      <w:pPr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Re-Evaluation or Re-Qualification Frequency:</w:t>
      </w:r>
    </w:p>
    <w:p>
      <w:pPr>
        <w:keepNext/>
        <w:numPr>
          <w:ilvl w:val="2"/>
          <w:numId w:val="1"/>
        </w:numPr>
        <w:tabs>
          <w:tab w:val="clear" w:pos="720"/>
        </w:tabs>
        <w:spacing w:line="360" w:lineRule="auto"/>
        <w:ind w:left="1985" w:hanging="851"/>
        <w:jc w:val="both"/>
        <w:rPr>
          <w:color w:val="000000" w:themeColor="text1"/>
        </w:rPr>
      </w:pPr>
      <w:r>
        <w:rPr>
          <w:color w:val="000000" w:themeColor="text1"/>
        </w:rPr>
        <w:t>Once in 3 years and as and when required.</w:t>
      </w:r>
    </w:p>
    <w:p>
      <w:pPr>
        <w:keepNext/>
        <w:numPr>
          <w:ilvl w:val="2"/>
          <w:numId w:val="1"/>
        </w:numPr>
        <w:tabs>
          <w:tab w:val="clear" w:pos="720"/>
        </w:tabs>
        <w:spacing w:line="360" w:lineRule="auto"/>
        <w:ind w:left="1985" w:hanging="851"/>
        <w:jc w:val="both"/>
        <w:rPr>
          <w:color w:val="000000" w:themeColor="text1"/>
        </w:rPr>
      </w:pPr>
      <w:r>
        <w:rPr>
          <w:color w:val="000000" w:themeColor="text1"/>
        </w:rPr>
        <w:t>Whenever any lab error necessitates the re-qualification.</w:t>
      </w:r>
    </w:p>
    <w:p>
      <w:pPr>
        <w:keepNext/>
        <w:numPr>
          <w:ilvl w:val="2"/>
          <w:numId w:val="1"/>
        </w:numPr>
        <w:tabs>
          <w:tab w:val="clear" w:pos="720"/>
        </w:tabs>
        <w:spacing w:line="360" w:lineRule="auto"/>
        <w:ind w:left="1985" w:hanging="851"/>
        <w:jc w:val="both"/>
        <w:rPr>
          <w:b/>
          <w:color w:val="000000" w:themeColor="text1"/>
        </w:rPr>
      </w:pPr>
      <w:r>
        <w:rPr>
          <w:color w:val="000000" w:themeColor="text1"/>
        </w:rPr>
        <w:t>Whenever Laboratories required to be approved for carrying out new tests, based on assessment.</w:t>
      </w:r>
    </w:p>
    <w:p>
      <w:pPr>
        <w:keepNext/>
        <w:numPr>
          <w:ilvl w:val="0"/>
          <w:numId w:val="1"/>
        </w:numPr>
        <w:tabs>
          <w:tab w:val="clear" w:pos="720"/>
        </w:tabs>
        <w:spacing w:line="360" w:lineRule="auto"/>
        <w:ind w:left="567" w:hanging="567"/>
        <w:jc w:val="both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Formats / annexure(S):</w:t>
      </w:r>
    </w:p>
    <w:p>
      <w:pPr>
        <w:pStyle w:val="12"/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 w:themeColor="text1"/>
        </w:rPr>
      </w:pPr>
      <w:r>
        <w:rPr>
          <w:color w:val="000000" w:themeColor="text1"/>
        </w:rPr>
        <w:t>Test Sample Out ward Register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: QA029-FM084</w:t>
      </w:r>
    </w:p>
    <w:p>
      <w:pPr>
        <w:pStyle w:val="12"/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rPr>
          <w:color w:val="000000" w:themeColor="text1"/>
        </w:rPr>
      </w:pPr>
      <w:r>
        <w:rPr>
          <w:color w:val="000000" w:themeColor="text1"/>
        </w:rPr>
        <w:t>External Laboratory analysis qualification checklist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: QA029-FM119</w:t>
      </w:r>
    </w:p>
    <w:p>
      <w:pPr>
        <w:pStyle w:val="12"/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 w:themeColor="text1"/>
        </w:rPr>
      </w:pPr>
      <w:r>
        <w:rPr>
          <w:color w:val="000000" w:themeColor="text1"/>
        </w:rPr>
        <w:t xml:space="preserve">External Laboratory Non- Compliance Report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: QA029-FM120</w:t>
      </w:r>
    </w:p>
    <w:p>
      <w:pPr>
        <w:pStyle w:val="12"/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 w:themeColor="text1"/>
        </w:rPr>
      </w:pPr>
      <w:r>
        <w:rPr>
          <w:color w:val="000000" w:themeColor="text1"/>
        </w:rPr>
        <w:t>Agreement of Contract Laboratory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: QA029-FM094</w:t>
      </w:r>
    </w:p>
    <w:p>
      <w:pPr>
        <w:pStyle w:val="12"/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 w:themeColor="text1"/>
        </w:rPr>
      </w:pPr>
      <w:r>
        <w:rPr>
          <w:color w:val="000000" w:themeColor="text1"/>
        </w:rPr>
        <w:t>Approved contract service providers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: QA029-FM098</w:t>
      </w:r>
    </w:p>
    <w:p>
      <w:pPr>
        <w:pStyle w:val="12"/>
        <w:keepNext/>
        <w:numPr>
          <w:ilvl w:val="1"/>
          <w:numId w:val="1"/>
        </w:numPr>
        <w:tabs>
          <w:tab w:val="clear" w:pos="720"/>
        </w:tabs>
        <w:spacing w:line="360" w:lineRule="auto"/>
        <w:ind w:left="1134" w:hanging="567"/>
        <w:jc w:val="both"/>
        <w:rPr>
          <w:color w:val="000000" w:themeColor="text1"/>
        </w:rPr>
      </w:pPr>
      <w:r>
        <w:rPr>
          <w:color w:val="000000" w:themeColor="text1"/>
        </w:rPr>
        <w:t>Out sourced calibrated instruments record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: QA029-FM121</w:t>
      </w:r>
    </w:p>
    <w:p>
      <w:pPr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br w:type="page"/>
      </w:r>
    </w:p>
    <w:p>
      <w:pPr>
        <w:keepNext/>
        <w:numPr>
          <w:ilvl w:val="0"/>
          <w:numId w:val="1"/>
        </w:numPr>
        <w:tabs>
          <w:tab w:val="clear" w:pos="720"/>
        </w:tabs>
        <w:spacing w:line="360" w:lineRule="auto"/>
        <w:ind w:left="567" w:hanging="567"/>
        <w:jc w:val="both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Change History:</w:t>
      </w:r>
    </w:p>
    <w:tbl>
      <w:tblPr>
        <w:tblStyle w:val="10"/>
        <w:tblW w:w="99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406"/>
        <w:gridCol w:w="5989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tblHeader/>
          <w:jc w:val="center"/>
        </w:trPr>
        <w:tc>
          <w:tcPr>
            <w:tcW w:w="1173" w:type="dxa"/>
            <w:vAlign w:val="center"/>
          </w:tcPr>
          <w:p>
            <w:pPr>
              <w:keepNext/>
              <w:ind w:left="567" w:hanging="567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06" w:type="dxa"/>
            <w:vAlign w:val="center"/>
          </w:tcPr>
          <w:p>
            <w:pPr>
              <w:keepNext/>
              <w:ind w:left="567" w:hanging="567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5989" w:type="dxa"/>
            <w:vAlign w:val="center"/>
          </w:tcPr>
          <w:p>
            <w:pPr>
              <w:keepNext/>
              <w:ind w:left="567" w:hanging="567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411" w:type="dxa"/>
            <w:vAlign w:val="center"/>
          </w:tcPr>
          <w:p>
            <w:pPr>
              <w:keepNext/>
              <w:ind w:left="567" w:hanging="567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Ref. CCF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173" w:type="dxa"/>
            <w:vAlign w:val="center"/>
          </w:tcPr>
          <w:p>
            <w:pPr>
              <w:keepNext/>
              <w:spacing w:line="360" w:lineRule="auto"/>
              <w:ind w:left="567" w:hanging="56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</w:t>
            </w:r>
          </w:p>
        </w:tc>
        <w:tc>
          <w:tcPr>
            <w:tcW w:w="1406" w:type="dxa"/>
            <w:vAlign w:val="center"/>
          </w:tcPr>
          <w:p>
            <w:pPr>
              <w:keepNext/>
              <w:spacing w:line="360" w:lineRule="auto"/>
              <w:ind w:left="567" w:hanging="567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01-01-2014</w:t>
            </w:r>
          </w:p>
        </w:tc>
        <w:tc>
          <w:tcPr>
            <w:tcW w:w="5989" w:type="dxa"/>
            <w:vAlign w:val="center"/>
          </w:tcPr>
          <w:p>
            <w:pPr>
              <w:keepNext/>
              <w:ind w:left="567" w:hanging="567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SOP</w:t>
            </w:r>
          </w:p>
        </w:tc>
        <w:tc>
          <w:tcPr>
            <w:tcW w:w="1411" w:type="dxa"/>
          </w:tcPr>
          <w:p>
            <w:pPr>
              <w:keepNext/>
              <w:spacing w:line="360" w:lineRule="auto"/>
              <w:ind w:left="567" w:hanging="56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173" w:type="dxa"/>
            <w:vAlign w:val="center"/>
          </w:tcPr>
          <w:p>
            <w:pPr>
              <w:keepNext/>
              <w:spacing w:line="360" w:lineRule="auto"/>
              <w:ind w:left="567" w:hanging="56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06" w:type="dxa"/>
            <w:vAlign w:val="center"/>
          </w:tcPr>
          <w:p>
            <w:pPr>
              <w:keepNext/>
              <w:spacing w:line="360" w:lineRule="auto"/>
              <w:ind w:left="567" w:hanging="567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25-07-2017  </w:t>
            </w:r>
          </w:p>
        </w:tc>
        <w:tc>
          <w:tcPr>
            <w:tcW w:w="5989" w:type="dxa"/>
            <w:vAlign w:val="center"/>
          </w:tcPr>
          <w:p>
            <w:pPr>
              <w:pStyle w:val="12"/>
              <w:keepNext/>
              <w:numPr>
                <w:ilvl w:val="0"/>
                <w:numId w:val="2"/>
              </w:numPr>
              <w:ind w:left="567" w:hanging="567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SOP format changed make to inline with SOP-QA-001-05. </w:t>
            </w:r>
          </w:p>
          <w:p>
            <w:pPr>
              <w:pStyle w:val="12"/>
              <w:keepNext/>
              <w:numPr>
                <w:ilvl w:val="0"/>
                <w:numId w:val="2"/>
              </w:numPr>
              <w:ind w:left="567" w:hanging="567"/>
              <w:jc w:val="both"/>
              <w:rPr>
                <w:bCs/>
                <w:color w:val="000000" w:themeColor="text1"/>
              </w:rPr>
            </w:pPr>
            <w:r>
              <w:t>Altogether procedure has `been rephrased for better clarity.</w:t>
            </w:r>
          </w:p>
        </w:tc>
        <w:tc>
          <w:tcPr>
            <w:tcW w:w="1411" w:type="dxa"/>
          </w:tcPr>
          <w:p>
            <w:pPr>
              <w:keepNext/>
              <w:spacing w:line="360" w:lineRule="auto"/>
              <w:ind w:left="567" w:hanging="56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</w:p>
          <w:p>
            <w:pPr>
              <w:keepNext/>
              <w:spacing w:line="360" w:lineRule="auto"/>
              <w:ind w:left="567" w:hanging="56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173" w:type="dxa"/>
            <w:vAlign w:val="center"/>
          </w:tcPr>
          <w:p>
            <w:pPr>
              <w:keepNext/>
              <w:spacing w:line="360" w:lineRule="auto"/>
              <w:ind w:left="567" w:hanging="56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06" w:type="dxa"/>
            <w:vAlign w:val="center"/>
          </w:tcPr>
          <w:p>
            <w:pPr>
              <w:keepNext/>
              <w:spacing w:line="360" w:lineRule="auto"/>
              <w:ind w:left="567" w:hanging="567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30.06.2019</w:t>
            </w:r>
          </w:p>
        </w:tc>
        <w:tc>
          <w:tcPr>
            <w:tcW w:w="5989" w:type="dxa"/>
            <w:vAlign w:val="center"/>
          </w:tcPr>
          <w:p>
            <w:pPr>
              <w:pStyle w:val="12"/>
              <w:keepNext/>
              <w:numPr>
                <w:ilvl w:val="0"/>
                <w:numId w:val="3"/>
              </w:numPr>
              <w:ind w:left="601" w:hanging="567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Procedure for service provider is included in which QC samples and engineering calibration are covered.</w:t>
            </w:r>
          </w:p>
          <w:p>
            <w:pPr>
              <w:pStyle w:val="12"/>
              <w:keepNext/>
              <w:numPr>
                <w:ilvl w:val="0"/>
                <w:numId w:val="3"/>
              </w:numPr>
              <w:ind w:left="601" w:hanging="567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List of service providers preparation procedure included the engineering calibration.</w:t>
            </w:r>
          </w:p>
          <w:p>
            <w:pPr>
              <w:pStyle w:val="12"/>
              <w:keepNext/>
              <w:numPr>
                <w:ilvl w:val="0"/>
                <w:numId w:val="3"/>
              </w:numPr>
              <w:ind w:left="601" w:hanging="567"/>
              <w:jc w:val="both"/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FM091 merged into FM119 </w:t>
            </w:r>
          </w:p>
          <w:p>
            <w:pPr>
              <w:pStyle w:val="12"/>
              <w:keepNext/>
              <w:numPr>
                <w:ilvl w:val="0"/>
                <w:numId w:val="3"/>
              </w:numPr>
              <w:ind w:left="601" w:hanging="567"/>
              <w:jc w:val="both"/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FM098 is revised in line with SOP</w:t>
            </w:r>
          </w:p>
        </w:tc>
        <w:tc>
          <w:tcPr>
            <w:tcW w:w="1411" w:type="dxa"/>
            <w:vAlign w:val="center"/>
          </w:tcPr>
          <w:p>
            <w:pPr>
              <w:keepNext/>
              <w:spacing w:line="360" w:lineRule="auto"/>
              <w:ind w:left="-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CCF/GEN/19026</w:t>
            </w:r>
          </w:p>
        </w:tc>
      </w:tr>
    </w:tbl>
    <w:p>
      <w:pPr>
        <w:keepNext/>
        <w:spacing w:line="360" w:lineRule="auto"/>
        <w:ind w:left="567" w:hanging="567"/>
        <w:rPr>
          <w:color w:val="000000" w:themeColor="text1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9" w:h="16834"/>
      <w:pgMar w:top="1440" w:right="1134" w:bottom="811" w:left="1134" w:header="1151" w:footer="10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10490" w:type="dxa"/>
      <w:jc w:val="center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35"/>
      <w:gridCol w:w="2740"/>
      <w:gridCol w:w="2845"/>
      <w:gridCol w:w="2970"/>
    </w:tblGrid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6" w:hRule="atLeast"/>
        <w:jc w:val="center"/>
      </w:trPr>
      <w:tc>
        <w:tcPr>
          <w:tcW w:w="187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48" w:hRule="atLeast"/>
        <w:jc w:val="center"/>
      </w:trPr>
      <w:tc>
        <w:tcPr>
          <w:tcW w:w="187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>
          <w:pPr>
            <w:jc w:val="center"/>
            <w:rPr>
              <w:sz w:val="22"/>
              <w:szCs w:val="22"/>
            </w:rPr>
          </w:pP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4" w:hRule="atLeast"/>
        <w:jc w:val="center"/>
      </w:trPr>
      <w:tc>
        <w:tcPr>
          <w:tcW w:w="187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</w:pPr>
          <w:r>
            <w:t>Name</w:t>
          </w:r>
        </w:p>
      </w:tc>
      <w:tc>
        <w:tcPr>
          <w:tcW w:w="2652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</w:pPr>
          <w:r>
            <w:t>V. Sathish</w:t>
          </w:r>
        </w:p>
      </w:tc>
      <w:tc>
        <w:tcPr>
          <w:tcW w:w="2753" w:type="dxa"/>
          <w:vAlign w:val="center"/>
        </w:tcPr>
        <w:p>
          <w:pPr>
            <w:jc w:val="center"/>
          </w:pPr>
          <w:r>
            <w:t>B. Satyam</w:t>
          </w:r>
        </w:p>
      </w:tc>
      <w:tc>
        <w:tcPr>
          <w:tcW w:w="2874" w:type="dxa"/>
          <w:vAlign w:val="center"/>
        </w:tcPr>
        <w:p>
          <w:pPr>
            <w:jc w:val="center"/>
          </w:pPr>
          <w:r>
            <w:t>N. Sreedhar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4" w:hRule="atLeast"/>
        <w:jc w:val="center"/>
      </w:trPr>
      <w:tc>
        <w:tcPr>
          <w:tcW w:w="1873" w:type="dxa"/>
          <w:vAlign w:val="center"/>
        </w:tcPr>
        <w:p>
          <w:pPr>
            <w:jc w:val="center"/>
          </w:pPr>
          <w:r>
            <w:t>Department</w:t>
          </w:r>
        </w:p>
      </w:tc>
      <w:tc>
        <w:tcPr>
          <w:tcW w:w="2652" w:type="dxa"/>
          <w:vAlign w:val="center"/>
        </w:tcPr>
        <w:p>
          <w:pPr>
            <w:jc w:val="center"/>
          </w:pPr>
          <w:r>
            <w:t>Quality Assurance</w:t>
          </w:r>
        </w:p>
      </w:tc>
      <w:tc>
        <w:tcPr>
          <w:tcW w:w="2753" w:type="dxa"/>
          <w:vAlign w:val="center"/>
        </w:tcPr>
        <w:p>
          <w:pPr>
            <w:jc w:val="center"/>
          </w:pPr>
          <w:r>
            <w:t>Quality Assurance</w:t>
          </w:r>
        </w:p>
      </w:tc>
      <w:tc>
        <w:tcPr>
          <w:tcW w:w="2874" w:type="dxa"/>
          <w:vAlign w:val="center"/>
        </w:tcPr>
        <w:p>
          <w:pPr>
            <w:jc w:val="center"/>
          </w:pPr>
          <w:r>
            <w:t>Quality</w:t>
          </w:r>
        </w:p>
      </w:tc>
    </w:tr>
  </w:tbl>
  <w:p>
    <w:pPr>
      <w:pStyle w:val="7"/>
      <w:ind w:left="-426"/>
    </w:pPr>
    <w:r>
      <w:t>QA001-FM139-01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10656" w:type="dxa"/>
      <w:tblInd w:w="-702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8" w:space="0"/>
        <w:insideV w:val="single" w:color="auto" w:sz="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26"/>
      <w:gridCol w:w="2798"/>
      <w:gridCol w:w="2909"/>
      <w:gridCol w:w="3023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6" w:hRule="atLeast"/>
      </w:trPr>
      <w:tc>
        <w:tcPr>
          <w:tcW w:w="1926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48" w:hRule="atLeast"/>
      </w:trPr>
      <w:tc>
        <w:tcPr>
          <w:tcW w:w="1926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>
          <w:pPr>
            <w:jc w:val="center"/>
            <w:rPr>
              <w:sz w:val="22"/>
              <w:szCs w:val="22"/>
            </w:rPr>
          </w:pP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4" w:hRule="atLeast"/>
      </w:trPr>
      <w:tc>
        <w:tcPr>
          <w:tcW w:w="1926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P. Shankaraiah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4" w:hRule="atLeast"/>
      </w:trPr>
      <w:tc>
        <w:tcPr>
          <w:tcW w:w="1926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Quality Assurance</w:t>
          </w:r>
        </w:p>
      </w:tc>
    </w:tr>
  </w:tbl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490" w:type="dxa"/>
      <w:jc w:val="center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05"/>
      <w:gridCol w:w="1720"/>
      <w:gridCol w:w="2483"/>
      <w:gridCol w:w="2185"/>
      <w:gridCol w:w="1897"/>
    </w:tblGrid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97" w:hRule="atLeast"/>
        <w:jc w:val="center"/>
      </w:trPr>
      <w:tc>
        <w:tcPr>
          <w:tcW w:w="2133" w:type="dxa"/>
          <w:vMerge w:val="restart"/>
          <w:vAlign w:val="center"/>
        </w:tcPr>
        <w:p>
          <w:pPr>
            <w:ind w:left="792" w:hanging="792"/>
            <w:jc w:val="center"/>
            <w:rPr>
              <w:b/>
              <w:sz w:val="28"/>
              <w:szCs w:val="28"/>
            </w:rPr>
          </w:pPr>
          <w:bookmarkStart w:id="0" w:name="_GoBack"/>
          <w:r>
            <w:rPr>
              <w:b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379095</wp:posOffset>
                </wp:positionV>
                <wp:extent cx="1171575" cy="542925"/>
                <wp:effectExtent l="0" t="0" r="9525" b="9525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0"/>
        </w:p>
      </w:tc>
      <w:tc>
        <w:tcPr>
          <w:tcW w:w="8019" w:type="dxa"/>
          <w:gridSpan w:val="4"/>
          <w:vAlign w:val="center"/>
        </w:tcPr>
        <w:p>
          <w:pPr>
            <w:jc w:val="center"/>
            <w:rPr>
              <w:b/>
              <w:sz w:val="28"/>
              <w:szCs w:val="28"/>
            </w:rPr>
          </w:pPr>
          <w:r>
            <w:rPr>
              <w:b/>
            </w:rPr>
            <w:t>STANDARD OPERATING PROCEDURE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97" w:hRule="atLeast"/>
        <w:jc w:val="center"/>
      </w:trPr>
      <w:tc>
        <w:tcPr>
          <w:tcW w:w="2133" w:type="dxa"/>
          <w:vMerge w:val="continue"/>
          <w:vAlign w:val="center"/>
        </w:tcPr>
        <w:p/>
      </w:tc>
      <w:tc>
        <w:tcPr>
          <w:tcW w:w="1665" w:type="dxa"/>
          <w:vAlign w:val="center"/>
        </w:tcPr>
        <w:p>
          <w:r>
            <w:t xml:space="preserve">SOP No.: </w:t>
          </w:r>
        </w:p>
      </w:tc>
      <w:tc>
        <w:tcPr>
          <w:tcW w:w="2403" w:type="dxa"/>
          <w:vAlign w:val="center"/>
        </w:tcPr>
        <w:p>
          <w:r>
            <w:t>SOP-QA-029-02</w:t>
          </w:r>
        </w:p>
      </w:tc>
      <w:tc>
        <w:tcPr>
          <w:tcW w:w="2115" w:type="dxa"/>
          <w:vAlign w:val="center"/>
        </w:tcPr>
        <w:p>
          <w:r>
            <w:t>Effective Date:</w:t>
          </w:r>
        </w:p>
      </w:tc>
      <w:tc>
        <w:tcPr>
          <w:tcW w:w="1836" w:type="dxa"/>
          <w:vAlign w:val="center"/>
        </w:tcPr>
        <w:p>
          <w:r>
            <w:t>30.06.2019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97" w:hRule="atLeast"/>
        <w:jc w:val="center"/>
      </w:trPr>
      <w:tc>
        <w:tcPr>
          <w:tcW w:w="2133" w:type="dxa"/>
          <w:vMerge w:val="continue"/>
          <w:vAlign w:val="center"/>
        </w:tcPr>
        <w:p/>
      </w:tc>
      <w:tc>
        <w:tcPr>
          <w:tcW w:w="1665" w:type="dxa"/>
          <w:vAlign w:val="center"/>
        </w:tcPr>
        <w:p>
          <w:r>
            <w:t xml:space="preserve">Supersedes : </w:t>
          </w:r>
        </w:p>
      </w:tc>
      <w:tc>
        <w:tcPr>
          <w:tcW w:w="2403" w:type="dxa"/>
          <w:vAlign w:val="center"/>
        </w:tcPr>
        <w:p>
          <w:r>
            <w:t>SOP-QA-029-01</w:t>
          </w:r>
        </w:p>
      </w:tc>
      <w:tc>
        <w:tcPr>
          <w:tcW w:w="2115" w:type="dxa"/>
          <w:vAlign w:val="center"/>
        </w:tcPr>
        <w:p>
          <w:r>
            <w:t>Next Review Date:</w:t>
          </w:r>
        </w:p>
      </w:tc>
      <w:tc>
        <w:tcPr>
          <w:tcW w:w="1836" w:type="dxa"/>
          <w:vAlign w:val="center"/>
        </w:tcPr>
        <w:p>
          <w:r>
            <w:t>29.06.2022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97" w:hRule="atLeast"/>
        <w:jc w:val="center"/>
      </w:trPr>
      <w:tc>
        <w:tcPr>
          <w:tcW w:w="2133" w:type="dxa"/>
          <w:vMerge w:val="continue"/>
          <w:vAlign w:val="center"/>
        </w:tcPr>
        <w:p/>
      </w:tc>
      <w:tc>
        <w:tcPr>
          <w:tcW w:w="1665" w:type="dxa"/>
          <w:vAlign w:val="center"/>
        </w:tcPr>
        <w:p>
          <w:r>
            <w:t>Department:</w:t>
          </w:r>
        </w:p>
      </w:tc>
      <w:tc>
        <w:tcPr>
          <w:tcW w:w="2403" w:type="dxa"/>
          <w:vAlign w:val="center"/>
        </w:tcPr>
        <w:p>
          <w:r>
            <w:t>Quality Assurance</w:t>
          </w:r>
        </w:p>
      </w:tc>
      <w:tc>
        <w:tcPr>
          <w:tcW w:w="2115" w:type="dxa"/>
          <w:vAlign w:val="center"/>
        </w:tcPr>
        <w:p>
          <w:r>
            <w:t>Page:</w:t>
          </w:r>
        </w:p>
      </w:tc>
      <w:tc>
        <w:tcPr>
          <w:tcW w:w="1836" w:type="dxa"/>
          <w:vAlign w:val="center"/>
        </w:tcPr>
        <w:p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4" w:hRule="atLeast"/>
        <w:jc w:val="center"/>
      </w:trPr>
      <w:tc>
        <w:tcPr>
          <w:tcW w:w="10152" w:type="dxa"/>
          <w:gridSpan w:val="5"/>
          <w:vAlign w:val="center"/>
        </w:tcPr>
        <w:p>
          <w:pPr>
            <w:ind w:left="936" w:hanging="936"/>
            <w:jc w:val="both"/>
            <w:rPr>
              <w:b/>
            </w:rPr>
          </w:pPr>
          <w:r>
            <w:rPr>
              <w:b/>
            </w:rPr>
            <w:t>TITLE: QUALIFICATION OF EXTERNAL LABORATORIES</w:t>
          </w:r>
        </w:p>
      </w:tc>
    </w:tr>
  </w:tbl>
  <w:p>
    <w:pPr>
      <w:pStyle w:val="8"/>
      <w:jc w:val="both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656" w:type="dxa"/>
      <w:tblInd w:w="-702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58"/>
      <w:gridCol w:w="1896"/>
      <w:gridCol w:w="2709"/>
      <w:gridCol w:w="2077"/>
      <w:gridCol w:w="1716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2258" w:type="dxa"/>
          <w:vMerge w:val="restart"/>
          <w:tcBorders>
            <w:top w:val="single" w:color="auto" w:sz="12" w:space="0"/>
            <w:left w:val="single" w:color="auto" w:sz="12" w:space="0"/>
            <w:right w:val="single" w:color="auto" w:sz="12" w:space="0"/>
          </w:tcBorders>
          <w:vAlign w:val="center"/>
        </w:tcPr>
        <w:p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3" name="Picture 3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color="auto" w:sz="12" w:space="0"/>
            <w:left w:val="single" w:color="auto" w:sz="12" w:space="0"/>
            <w:bottom w:val="single" w:color="auto" w:sz="8" w:space="0"/>
            <w:right w:val="single" w:color="auto" w:sz="12" w:space="0"/>
          </w:tcBorders>
          <w:vAlign w:val="center"/>
        </w:tcPr>
        <w:p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DISCOVERY INTERMEDIATE PRIVATE LIMITED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color="auto" w:sz="8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STANDARD OPERATING PROCEDURE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896" w:type="dxa"/>
          <w:tcBorders>
            <w:top w:val="single" w:color="auto" w:sz="12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 xml:space="preserve">SOP No.: </w:t>
          </w:r>
        </w:p>
      </w:tc>
      <w:tc>
        <w:tcPr>
          <w:tcW w:w="2709" w:type="dxa"/>
          <w:tcBorders>
            <w:top w:val="single" w:color="auto" w:sz="12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>
          <w:r>
            <w:t>SOP-QA-001-04</w:t>
          </w:r>
        </w:p>
      </w:tc>
      <w:tc>
        <w:tcPr>
          <w:tcW w:w="2077" w:type="dxa"/>
          <w:tcBorders>
            <w:top w:val="single" w:color="auto" w:sz="12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>Effective Date:</w:t>
          </w:r>
        </w:p>
      </w:tc>
      <w:tc>
        <w:tcPr>
          <w:tcW w:w="1716" w:type="dxa"/>
          <w:tcBorders>
            <w:top w:val="single" w:color="auto" w:sz="12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>
          <w:pPr>
            <w:jc w:val="center"/>
          </w:pPr>
          <w:r>
            <w:t>01.11.2016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896" w:type="dxa"/>
          <w:tcBorders>
            <w:top w:val="single" w:color="auto" w:sz="6" w:space="0"/>
            <w:left w:val="single" w:color="auto" w:sz="12" w:space="0"/>
            <w:bottom w:val="single" w:color="auto" w:sz="6" w:space="0"/>
            <w:right w:val="single" w:color="auto" w:sz="6" w:space="0"/>
          </w:tcBorders>
          <w:vAlign w:val="center"/>
        </w:tcPr>
        <w:p>
          <w:r>
            <w:t xml:space="preserve">Supersedes : </w:t>
          </w:r>
        </w:p>
      </w:tc>
      <w:tc>
        <w:tcPr>
          <w:tcW w:w="270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12" w:space="0"/>
          </w:tcBorders>
          <w:vAlign w:val="center"/>
        </w:tcPr>
        <w:p>
          <w:r>
            <w:t>SOP-QA-001-03</w:t>
          </w:r>
        </w:p>
      </w:tc>
      <w:tc>
        <w:tcPr>
          <w:tcW w:w="2077" w:type="dxa"/>
          <w:tcBorders>
            <w:top w:val="single" w:color="auto" w:sz="6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>Next Review Date:</w:t>
          </w:r>
        </w:p>
      </w:tc>
      <w:tc>
        <w:tcPr>
          <w:tcW w:w="1716" w:type="dxa"/>
          <w:tcBorders>
            <w:top w:val="single" w:color="auto" w:sz="6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>
          <w:pPr>
            <w:jc w:val="center"/>
          </w:pPr>
          <w:r>
            <w:t>31.10.2019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896" w:type="dxa"/>
          <w:tcBorders>
            <w:top w:val="single" w:color="auto" w:sz="6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>
          <w:r>
            <w:t>Department:</w:t>
          </w:r>
        </w:p>
      </w:tc>
      <w:tc>
        <w:tcPr>
          <w:tcW w:w="2709" w:type="dxa"/>
          <w:tcBorders>
            <w:top w:val="single" w:color="auto" w:sz="6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>
          <w:r>
            <w:t>Quality Assurance</w:t>
          </w:r>
        </w:p>
      </w:tc>
      <w:tc>
        <w:tcPr>
          <w:tcW w:w="2077" w:type="dxa"/>
          <w:tcBorders>
            <w:top w:val="single" w:color="auto" w:sz="6" w:space="0"/>
            <w:left w:val="single" w:color="auto" w:sz="12" w:space="0"/>
            <w:bottom w:val="single" w:color="auto" w:sz="12" w:space="0"/>
            <w:right w:val="single" w:color="auto" w:sz="8" w:space="0"/>
          </w:tcBorders>
          <w:vAlign w:val="center"/>
        </w:tcPr>
        <w:p>
          <w:r>
            <w:t>Page:</w:t>
          </w:r>
        </w:p>
      </w:tc>
      <w:tc>
        <w:tcPr>
          <w:tcW w:w="1716" w:type="dxa"/>
          <w:tcBorders>
            <w:top w:val="single" w:color="auto" w:sz="6" w:space="0"/>
            <w:left w:val="single" w:color="auto" w:sz="8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10656" w:type="dxa"/>
          <w:gridSpan w:val="5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ind w:left="936" w:hanging="936"/>
            <w:jc w:val="both"/>
            <w:rPr>
              <w:b/>
            </w:rPr>
          </w:pPr>
          <w:r>
            <w:rPr>
              <w:b/>
            </w:rPr>
            <w:t xml:space="preserve">TITLE: </w:t>
          </w:r>
          <w:r>
            <w:rPr>
              <w:b/>
              <w:caps/>
            </w:rPr>
            <w:t>procedure for preparation of standard operating procedures    (SOP on SOP)</w:t>
          </w:r>
        </w:p>
      </w:tc>
    </w:tr>
  </w:tbl>
  <w:p>
    <w:pPr>
      <w:pStyle w:val="8"/>
      <w:tabs>
        <w:tab w:val="left" w:pos="1440"/>
        <w:tab w:val="clear" w:pos="4320"/>
        <w:tab w:val="clear" w:pos="8640"/>
      </w:tabs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FC7AA7"/>
    <w:multiLevelType w:val="multilevel"/>
    <w:tmpl w:val="1DFC7A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31FA0414"/>
    <w:multiLevelType w:val="multilevel"/>
    <w:tmpl w:val="31FA04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688516CA"/>
    <w:multiLevelType w:val="multilevel"/>
    <w:tmpl w:val="688516CA"/>
    <w:lvl w:ilvl="0" w:tentative="0">
      <w:start w:val="1"/>
      <w:numFmt w:val="decimal"/>
      <w:lvlText w:val="%1.0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  <w:b w:val="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b w:val="0"/>
        <w:color w:val="000000" w:themeColor="text1"/>
      </w:rPr>
    </w:lvl>
    <w:lvl w:ilvl="3" w:tentative="0">
      <w:start w:val="1"/>
      <w:numFmt w:val="decimal"/>
      <w:lvlText w:val="%1.%2.%3.%4"/>
      <w:lvlJc w:val="left"/>
      <w:pPr>
        <w:tabs>
          <w:tab w:val="left" w:pos="2250"/>
        </w:tabs>
        <w:ind w:left="2250" w:hanging="720"/>
      </w:pPr>
      <w:rPr>
        <w:rFonts w:hint="default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3960"/>
        </w:tabs>
        <w:ind w:left="3960" w:hanging="1080"/>
      </w:pPr>
      <w:rPr>
        <w:rFonts w:hint="default"/>
        <w:b w:val="0"/>
      </w:rPr>
    </w:lvl>
    <w:lvl w:ilvl="5" w:tentative="0">
      <w:start w:val="1"/>
      <w:numFmt w:val="decimal"/>
      <w:lvlText w:val="%1.%2.%3.%4.%5.%6"/>
      <w:lvlJc w:val="left"/>
      <w:pPr>
        <w:tabs>
          <w:tab w:val="left" w:pos="4680"/>
        </w:tabs>
        <w:ind w:left="4680" w:hanging="1080"/>
      </w:pPr>
      <w:rPr>
        <w:rFonts w:hint="default"/>
        <w:b w:val="0"/>
      </w:rPr>
    </w:lvl>
    <w:lvl w:ilvl="6" w:tentative="0">
      <w:start w:val="1"/>
      <w:numFmt w:val="decimal"/>
      <w:lvlText w:val="%1.%2.%3.%4.%5.%6.%7"/>
      <w:lvlJc w:val="left"/>
      <w:pPr>
        <w:tabs>
          <w:tab w:val="left" w:pos="5760"/>
        </w:tabs>
        <w:ind w:left="5760" w:hanging="1440"/>
      </w:pPr>
      <w:rPr>
        <w:rFonts w:hint="default"/>
        <w:b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480"/>
        </w:tabs>
        <w:ind w:left="6480" w:hanging="1440"/>
      </w:pPr>
      <w:rPr>
        <w:rFonts w:hint="default"/>
        <w:b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560"/>
        </w:tabs>
        <w:ind w:left="7560" w:hanging="180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560B"/>
    <w:rsid w:val="0001625F"/>
    <w:rsid w:val="00017079"/>
    <w:rsid w:val="0001746B"/>
    <w:rsid w:val="00017AAF"/>
    <w:rsid w:val="00020B94"/>
    <w:rsid w:val="00020CA3"/>
    <w:rsid w:val="00022909"/>
    <w:rsid w:val="0002390F"/>
    <w:rsid w:val="00024E7A"/>
    <w:rsid w:val="00025714"/>
    <w:rsid w:val="00025D3C"/>
    <w:rsid w:val="0002653F"/>
    <w:rsid w:val="00026C2A"/>
    <w:rsid w:val="0002789C"/>
    <w:rsid w:val="00030B58"/>
    <w:rsid w:val="00030C6E"/>
    <w:rsid w:val="000311F9"/>
    <w:rsid w:val="00032789"/>
    <w:rsid w:val="00032AAE"/>
    <w:rsid w:val="0003312F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0C"/>
    <w:rsid w:val="000426CA"/>
    <w:rsid w:val="00042CDD"/>
    <w:rsid w:val="00044E65"/>
    <w:rsid w:val="00046B62"/>
    <w:rsid w:val="00047636"/>
    <w:rsid w:val="0004766C"/>
    <w:rsid w:val="00047A13"/>
    <w:rsid w:val="00047A3D"/>
    <w:rsid w:val="00047E66"/>
    <w:rsid w:val="00050557"/>
    <w:rsid w:val="000505E8"/>
    <w:rsid w:val="00051A6A"/>
    <w:rsid w:val="000521C8"/>
    <w:rsid w:val="000525EA"/>
    <w:rsid w:val="00053157"/>
    <w:rsid w:val="000533AF"/>
    <w:rsid w:val="00053B20"/>
    <w:rsid w:val="00054305"/>
    <w:rsid w:val="00056761"/>
    <w:rsid w:val="00056888"/>
    <w:rsid w:val="000568FA"/>
    <w:rsid w:val="000571F9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2F8"/>
    <w:rsid w:val="00067A78"/>
    <w:rsid w:val="00071753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504E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0C1D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BD7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07275"/>
    <w:rsid w:val="00111C68"/>
    <w:rsid w:val="00111E3A"/>
    <w:rsid w:val="00113018"/>
    <w:rsid w:val="00113906"/>
    <w:rsid w:val="00113D8B"/>
    <w:rsid w:val="001146DE"/>
    <w:rsid w:val="00114BEF"/>
    <w:rsid w:val="0011540D"/>
    <w:rsid w:val="00115A3A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357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625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3ED8"/>
    <w:rsid w:val="001944D8"/>
    <w:rsid w:val="0019529A"/>
    <w:rsid w:val="0019557A"/>
    <w:rsid w:val="00195E5C"/>
    <w:rsid w:val="001968B4"/>
    <w:rsid w:val="001A057D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1EB9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53BA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328B"/>
    <w:rsid w:val="00224391"/>
    <w:rsid w:val="0022474D"/>
    <w:rsid w:val="002247CE"/>
    <w:rsid w:val="00224BE9"/>
    <w:rsid w:val="00224C77"/>
    <w:rsid w:val="00225928"/>
    <w:rsid w:val="002264A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3FC6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57C2B"/>
    <w:rsid w:val="002636F4"/>
    <w:rsid w:val="0026521B"/>
    <w:rsid w:val="002676DD"/>
    <w:rsid w:val="002719AA"/>
    <w:rsid w:val="002721D3"/>
    <w:rsid w:val="00272E85"/>
    <w:rsid w:val="00273F3F"/>
    <w:rsid w:val="002754D8"/>
    <w:rsid w:val="00275992"/>
    <w:rsid w:val="0027684B"/>
    <w:rsid w:val="00276C6B"/>
    <w:rsid w:val="00277C11"/>
    <w:rsid w:val="00280272"/>
    <w:rsid w:val="002808AA"/>
    <w:rsid w:val="002810AC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08B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465"/>
    <w:rsid w:val="002C2784"/>
    <w:rsid w:val="002C29DB"/>
    <w:rsid w:val="002C2CD9"/>
    <w:rsid w:val="002C462C"/>
    <w:rsid w:val="002C4A22"/>
    <w:rsid w:val="002C5DEB"/>
    <w:rsid w:val="002C64D9"/>
    <w:rsid w:val="002C72AB"/>
    <w:rsid w:val="002D0091"/>
    <w:rsid w:val="002D0E9F"/>
    <w:rsid w:val="002D1096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6933"/>
    <w:rsid w:val="002F7BE9"/>
    <w:rsid w:val="00300D42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2BD8"/>
    <w:rsid w:val="00334034"/>
    <w:rsid w:val="003351FB"/>
    <w:rsid w:val="00335354"/>
    <w:rsid w:val="003355CA"/>
    <w:rsid w:val="0033591C"/>
    <w:rsid w:val="00335998"/>
    <w:rsid w:val="00336876"/>
    <w:rsid w:val="0033739C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6AFE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11E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D41"/>
    <w:rsid w:val="00380F84"/>
    <w:rsid w:val="0038139F"/>
    <w:rsid w:val="00382A88"/>
    <w:rsid w:val="00382FAE"/>
    <w:rsid w:val="00383018"/>
    <w:rsid w:val="00383875"/>
    <w:rsid w:val="00383DEC"/>
    <w:rsid w:val="00385A4A"/>
    <w:rsid w:val="00386F61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8B6"/>
    <w:rsid w:val="003B3AA5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4FA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4AAB"/>
    <w:rsid w:val="003F5155"/>
    <w:rsid w:val="003F56FB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2F9B"/>
    <w:rsid w:val="00413C2F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30CA"/>
    <w:rsid w:val="004337E9"/>
    <w:rsid w:val="0043453F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BEB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180E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0EB5"/>
    <w:rsid w:val="00471F29"/>
    <w:rsid w:val="0047297D"/>
    <w:rsid w:val="00474143"/>
    <w:rsid w:val="00474925"/>
    <w:rsid w:val="00475B08"/>
    <w:rsid w:val="00475BCE"/>
    <w:rsid w:val="00476CD8"/>
    <w:rsid w:val="00476D56"/>
    <w:rsid w:val="004778F5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6F8C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148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5DD3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A33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B5F"/>
    <w:rsid w:val="005A2FDD"/>
    <w:rsid w:val="005A3224"/>
    <w:rsid w:val="005A3829"/>
    <w:rsid w:val="005A52A3"/>
    <w:rsid w:val="005A52CA"/>
    <w:rsid w:val="005A5B31"/>
    <w:rsid w:val="005A632B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188"/>
    <w:rsid w:val="005C6C9C"/>
    <w:rsid w:val="005C7BBF"/>
    <w:rsid w:val="005C7D7B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361"/>
    <w:rsid w:val="00606781"/>
    <w:rsid w:val="0060694A"/>
    <w:rsid w:val="00606BF8"/>
    <w:rsid w:val="00607CCB"/>
    <w:rsid w:val="00611225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1F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732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A43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5B2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D31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996"/>
    <w:rsid w:val="00700E7C"/>
    <w:rsid w:val="00701058"/>
    <w:rsid w:val="00701469"/>
    <w:rsid w:val="0070173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83F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2E3F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3BEF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6A98"/>
    <w:rsid w:val="0076797B"/>
    <w:rsid w:val="00767A74"/>
    <w:rsid w:val="00770CC4"/>
    <w:rsid w:val="00771520"/>
    <w:rsid w:val="00771758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16B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5E9B"/>
    <w:rsid w:val="007A67F0"/>
    <w:rsid w:val="007A7527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E6D"/>
    <w:rsid w:val="007B6993"/>
    <w:rsid w:val="007C09F8"/>
    <w:rsid w:val="007C2040"/>
    <w:rsid w:val="007C20E6"/>
    <w:rsid w:val="007C2B7B"/>
    <w:rsid w:val="007C42F8"/>
    <w:rsid w:val="007C4516"/>
    <w:rsid w:val="007C46D0"/>
    <w:rsid w:val="007C4D7F"/>
    <w:rsid w:val="007C56C4"/>
    <w:rsid w:val="007C582D"/>
    <w:rsid w:val="007C59EE"/>
    <w:rsid w:val="007C6362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5FD0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75DE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3634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1183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6ACB"/>
    <w:rsid w:val="00887131"/>
    <w:rsid w:val="00890103"/>
    <w:rsid w:val="00890A6D"/>
    <w:rsid w:val="008913A4"/>
    <w:rsid w:val="00891A32"/>
    <w:rsid w:val="0089271A"/>
    <w:rsid w:val="00892778"/>
    <w:rsid w:val="00892CC6"/>
    <w:rsid w:val="00893D12"/>
    <w:rsid w:val="00894B15"/>
    <w:rsid w:val="008950AE"/>
    <w:rsid w:val="0089607F"/>
    <w:rsid w:val="008974E7"/>
    <w:rsid w:val="00897EC7"/>
    <w:rsid w:val="008A0021"/>
    <w:rsid w:val="008A05BE"/>
    <w:rsid w:val="008A1442"/>
    <w:rsid w:val="008A167E"/>
    <w:rsid w:val="008A1BF1"/>
    <w:rsid w:val="008A1C0A"/>
    <w:rsid w:val="008A2657"/>
    <w:rsid w:val="008A2A42"/>
    <w:rsid w:val="008A2D8C"/>
    <w:rsid w:val="008A340C"/>
    <w:rsid w:val="008A45E4"/>
    <w:rsid w:val="008A6833"/>
    <w:rsid w:val="008A728B"/>
    <w:rsid w:val="008A747E"/>
    <w:rsid w:val="008B0B45"/>
    <w:rsid w:val="008B0D7C"/>
    <w:rsid w:val="008B127A"/>
    <w:rsid w:val="008B4372"/>
    <w:rsid w:val="008B4606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541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30B6"/>
    <w:rsid w:val="008F5453"/>
    <w:rsid w:val="008F5F91"/>
    <w:rsid w:val="008F6481"/>
    <w:rsid w:val="00900F35"/>
    <w:rsid w:val="00901730"/>
    <w:rsid w:val="00901B2F"/>
    <w:rsid w:val="00901D9A"/>
    <w:rsid w:val="00901DBE"/>
    <w:rsid w:val="00902283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1BF6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3025"/>
    <w:rsid w:val="00944AF0"/>
    <w:rsid w:val="009508D0"/>
    <w:rsid w:val="00951004"/>
    <w:rsid w:val="0095112D"/>
    <w:rsid w:val="00952165"/>
    <w:rsid w:val="00952781"/>
    <w:rsid w:val="00952CC5"/>
    <w:rsid w:val="00952FE4"/>
    <w:rsid w:val="0095341F"/>
    <w:rsid w:val="00954E9E"/>
    <w:rsid w:val="00955D82"/>
    <w:rsid w:val="00956D55"/>
    <w:rsid w:val="0095721B"/>
    <w:rsid w:val="00957B70"/>
    <w:rsid w:val="009606D9"/>
    <w:rsid w:val="009610C1"/>
    <w:rsid w:val="009613A0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655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779F4"/>
    <w:rsid w:val="00980353"/>
    <w:rsid w:val="00980914"/>
    <w:rsid w:val="00983409"/>
    <w:rsid w:val="00983C94"/>
    <w:rsid w:val="00984FC2"/>
    <w:rsid w:val="00987387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0C62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5685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20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57E0C"/>
    <w:rsid w:val="00A61A68"/>
    <w:rsid w:val="00A6216A"/>
    <w:rsid w:val="00A631ED"/>
    <w:rsid w:val="00A6328A"/>
    <w:rsid w:val="00A638EF"/>
    <w:rsid w:val="00A64740"/>
    <w:rsid w:val="00A655D4"/>
    <w:rsid w:val="00A65B0B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C7C1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0B3A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348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84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A7D"/>
    <w:rsid w:val="00B24DB9"/>
    <w:rsid w:val="00B252C1"/>
    <w:rsid w:val="00B2608A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2F4"/>
    <w:rsid w:val="00B367A9"/>
    <w:rsid w:val="00B367D6"/>
    <w:rsid w:val="00B36F72"/>
    <w:rsid w:val="00B4056A"/>
    <w:rsid w:val="00B40C6A"/>
    <w:rsid w:val="00B41AE8"/>
    <w:rsid w:val="00B43DB1"/>
    <w:rsid w:val="00B453DC"/>
    <w:rsid w:val="00B47018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1FF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F88"/>
    <w:rsid w:val="00B800A1"/>
    <w:rsid w:val="00B8137E"/>
    <w:rsid w:val="00B81571"/>
    <w:rsid w:val="00B81A38"/>
    <w:rsid w:val="00B822FC"/>
    <w:rsid w:val="00B82638"/>
    <w:rsid w:val="00B826C5"/>
    <w:rsid w:val="00B826EB"/>
    <w:rsid w:val="00B845D3"/>
    <w:rsid w:val="00B8473A"/>
    <w:rsid w:val="00B84AE3"/>
    <w:rsid w:val="00B84DB1"/>
    <w:rsid w:val="00B86EC2"/>
    <w:rsid w:val="00B87572"/>
    <w:rsid w:val="00B87591"/>
    <w:rsid w:val="00B87942"/>
    <w:rsid w:val="00B87E38"/>
    <w:rsid w:val="00B90776"/>
    <w:rsid w:val="00B914F9"/>
    <w:rsid w:val="00B92283"/>
    <w:rsid w:val="00B927E1"/>
    <w:rsid w:val="00B9421A"/>
    <w:rsid w:val="00B94739"/>
    <w:rsid w:val="00B9561E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0A96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467"/>
    <w:rsid w:val="00BD68D7"/>
    <w:rsid w:val="00BD6D7B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5C7"/>
    <w:rsid w:val="00C23E15"/>
    <w:rsid w:val="00C23FA2"/>
    <w:rsid w:val="00C23FD9"/>
    <w:rsid w:val="00C253E5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5E1"/>
    <w:rsid w:val="00C424B3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86E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A39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54C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E1E"/>
    <w:rsid w:val="00D33F02"/>
    <w:rsid w:val="00D34536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E2B"/>
    <w:rsid w:val="00D61F33"/>
    <w:rsid w:val="00D62075"/>
    <w:rsid w:val="00D62595"/>
    <w:rsid w:val="00D62835"/>
    <w:rsid w:val="00D6337E"/>
    <w:rsid w:val="00D645FC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7F2"/>
    <w:rsid w:val="00D76948"/>
    <w:rsid w:val="00D76A1F"/>
    <w:rsid w:val="00D8082E"/>
    <w:rsid w:val="00D80B68"/>
    <w:rsid w:val="00D81B3F"/>
    <w:rsid w:val="00D81C12"/>
    <w:rsid w:val="00D83333"/>
    <w:rsid w:val="00D83535"/>
    <w:rsid w:val="00D8449B"/>
    <w:rsid w:val="00D848F8"/>
    <w:rsid w:val="00D870FC"/>
    <w:rsid w:val="00D87553"/>
    <w:rsid w:val="00D87AD1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1C98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9B7"/>
    <w:rsid w:val="00DD4C61"/>
    <w:rsid w:val="00DD4CA1"/>
    <w:rsid w:val="00DD56E9"/>
    <w:rsid w:val="00DD5CF5"/>
    <w:rsid w:val="00DD6329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A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58B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2F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83B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9CF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CAF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04E"/>
    <w:rsid w:val="00E92165"/>
    <w:rsid w:val="00E927B7"/>
    <w:rsid w:val="00E9315D"/>
    <w:rsid w:val="00E9334D"/>
    <w:rsid w:val="00E95353"/>
    <w:rsid w:val="00E9660F"/>
    <w:rsid w:val="00E96874"/>
    <w:rsid w:val="00E9693D"/>
    <w:rsid w:val="00E9736D"/>
    <w:rsid w:val="00E9775C"/>
    <w:rsid w:val="00E97CE4"/>
    <w:rsid w:val="00EA03C0"/>
    <w:rsid w:val="00EA1A0B"/>
    <w:rsid w:val="00EA3020"/>
    <w:rsid w:val="00EA34A1"/>
    <w:rsid w:val="00EA3DE8"/>
    <w:rsid w:val="00EA452F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350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0B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734"/>
    <w:rsid w:val="00F228C4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6A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1DC9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  <w:rsid w:val="13EB14E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Body Text Indent 3"/>
    <w:basedOn w:val="1"/>
    <w:link w:val="15"/>
    <w:qFormat/>
    <w:uiPriority w:val="0"/>
    <w:pPr>
      <w:spacing w:after="120"/>
      <w:ind w:left="283"/>
    </w:pPr>
    <w:rPr>
      <w:sz w:val="16"/>
      <w:szCs w:val="16"/>
    </w:rPr>
  </w:style>
  <w:style w:type="paragraph" w:styleId="7">
    <w:name w:val="footer"/>
    <w:basedOn w:val="1"/>
    <w:link w:val="13"/>
    <w:uiPriority w:val="0"/>
    <w:pPr>
      <w:tabs>
        <w:tab w:val="center" w:pos="4320"/>
        <w:tab w:val="right" w:pos="8640"/>
      </w:tabs>
    </w:pPr>
  </w:style>
  <w:style w:type="paragraph" w:styleId="8">
    <w:name w:val="header"/>
    <w:basedOn w:val="1"/>
    <w:link w:val="11"/>
    <w:uiPriority w:val="0"/>
    <w:pPr>
      <w:tabs>
        <w:tab w:val="center" w:pos="4320"/>
        <w:tab w:val="right" w:pos="8640"/>
      </w:tabs>
    </w:pPr>
  </w:style>
  <w:style w:type="character" w:styleId="9">
    <w:name w:val="page number"/>
    <w:basedOn w:val="2"/>
    <w:uiPriority w:val="0"/>
  </w:style>
  <w:style w:type="table" w:styleId="10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er Char"/>
    <w:basedOn w:val="2"/>
    <w:link w:val="8"/>
    <w:uiPriority w:val="0"/>
    <w:rPr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Footer Char"/>
    <w:basedOn w:val="2"/>
    <w:link w:val="7"/>
    <w:uiPriority w:val="0"/>
    <w:rPr>
      <w:sz w:val="24"/>
      <w:szCs w:val="24"/>
    </w:rPr>
  </w:style>
  <w:style w:type="table" w:customStyle="1" w:styleId="14">
    <w:name w:val="Table Grid1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Body Text Indent 3 Char"/>
    <w:basedOn w:val="2"/>
    <w:link w:val="6"/>
    <w:qFormat/>
    <w:uiPriority w:val="0"/>
    <w:rPr>
      <w:sz w:val="16"/>
      <w:szCs w:val="16"/>
    </w:rPr>
  </w:style>
  <w:style w:type="paragraph" w:customStyle="1" w:styleId="16">
    <w:name w:val="1hang5"/>
    <w:basedOn w:val="1"/>
    <w:qFormat/>
    <w:uiPriority w:val="0"/>
    <w:pPr>
      <w:tabs>
        <w:tab w:val="left" w:pos="-90"/>
        <w:tab w:val="left" w:pos="0"/>
      </w:tabs>
      <w:spacing w:line="360" w:lineRule="auto"/>
      <w:ind w:left="2160" w:hanging="720"/>
      <w:jc w:val="both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EF16C-A650-4A6F-8C18-030215F081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Shankar</Company>
  <Pages>1</Pages>
  <Words>1088</Words>
  <Characters>6205</Characters>
  <Lines>51</Lines>
  <Paragraphs>14</Paragraphs>
  <TotalTime>5740</TotalTime>
  <ScaleCrop>false</ScaleCrop>
  <LinksUpToDate>false</LinksUpToDate>
  <CharactersWithSpaces>7279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2012-09-11T07:20:00Z</dcterms:created>
  <dc:creator>Shankar</dc:creator>
  <cp:lastModifiedBy>QA- Discovery</cp:lastModifiedBy>
  <cp:lastPrinted>2019-08-10T10:34:00Z</cp:lastPrinted>
  <dcterms:modified xsi:type="dcterms:W3CDTF">2022-05-20T06:15:29Z</dcterms:modified>
  <dc:title>Production SOP's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97CF71A052764B2FA54B75F97A9C694A</vt:lpwstr>
  </property>
</Properties>
</file>