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665058" w:rsidRDefault="00665058" w:rsidP="003B4EBC">
      <w:pPr>
        <w:spacing w:line="360" w:lineRule="auto"/>
        <w:ind w:right="-108"/>
        <w:jc w:val="both"/>
      </w:pPr>
      <w:r w:rsidRPr="00AF3179">
        <w:rPr>
          <w:bCs/>
        </w:rPr>
        <w:t xml:space="preserve">To lay down the procedure for </w:t>
      </w:r>
      <w:r w:rsidRPr="00AF3179">
        <w:rPr>
          <w:lang w:val="en-IN" w:eastAsia="en-IN"/>
        </w:rPr>
        <w:t>q</w:t>
      </w:r>
      <w:r>
        <w:rPr>
          <w:lang w:val="en-IN" w:eastAsia="en-IN"/>
        </w:rPr>
        <w:t>ualification, handling, storage</w:t>
      </w:r>
      <w:r w:rsidRPr="00AF3179">
        <w:rPr>
          <w:lang w:val="en-IN" w:eastAsia="en-IN"/>
        </w:rPr>
        <w:t xml:space="preserve"> and usage of </w:t>
      </w:r>
      <w:r>
        <w:rPr>
          <w:lang w:val="en-IN" w:eastAsia="en-IN"/>
        </w:rPr>
        <w:t>reference/</w:t>
      </w:r>
      <w:r w:rsidRPr="00603067">
        <w:rPr>
          <w:lang w:val="en-IN" w:eastAsia="en-IN"/>
        </w:rPr>
        <w:t xml:space="preserve"> </w:t>
      </w:r>
      <w:r w:rsidRPr="00AF3179">
        <w:rPr>
          <w:lang w:val="en-IN" w:eastAsia="en-IN"/>
        </w:rPr>
        <w:t>working</w:t>
      </w:r>
      <w:r>
        <w:rPr>
          <w:lang w:val="en-IN" w:eastAsia="en-IN"/>
        </w:rPr>
        <w:t xml:space="preserve"> </w:t>
      </w:r>
      <w:r w:rsidRPr="00AF3179">
        <w:rPr>
          <w:lang w:val="en-IN" w:eastAsia="en-IN"/>
        </w:rPr>
        <w:t>standards used</w:t>
      </w:r>
      <w:r w:rsidRPr="00AF3179">
        <w:rPr>
          <w:bCs/>
        </w:rPr>
        <w:t xml:space="preserve"> in the </w:t>
      </w:r>
      <w:r>
        <w:rPr>
          <w:bCs/>
        </w:rPr>
        <w:t>q</w:t>
      </w:r>
      <w:r w:rsidRPr="00AF3179">
        <w:rPr>
          <w:bCs/>
        </w:rPr>
        <w:t>uality control department</w:t>
      </w:r>
      <w:r>
        <w:rPr>
          <w:bCs/>
        </w:rPr>
        <w:t>.</w:t>
      </w:r>
    </w:p>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665058" w:rsidP="003B4EBC">
      <w:pPr>
        <w:spacing w:line="360" w:lineRule="auto"/>
        <w:ind w:right="-108"/>
        <w:jc w:val="both"/>
      </w:pPr>
      <w:r>
        <w:rPr>
          <w:bCs/>
        </w:rPr>
        <w:t>The</w:t>
      </w:r>
      <w:r w:rsidRPr="00AF3179">
        <w:rPr>
          <w:bCs/>
        </w:rPr>
        <w:t xml:space="preserve"> scope of this sop is applicable for qualification of </w:t>
      </w:r>
      <w:r w:rsidRPr="00603067">
        <w:rPr>
          <w:lang w:val="en-IN" w:eastAsia="en-IN"/>
        </w:rPr>
        <w:t>reference/ working standards</w:t>
      </w:r>
      <w:r w:rsidRPr="00AF3179">
        <w:rPr>
          <w:lang w:val="en-IN" w:eastAsia="en-IN"/>
        </w:rPr>
        <w:t xml:space="preserve"> </w:t>
      </w:r>
      <w:r w:rsidRPr="00AF3179">
        <w:rPr>
          <w:bCs/>
        </w:rPr>
        <w:t>used in Quality control department at</w:t>
      </w:r>
      <w:r w:rsidRPr="003B4EBC">
        <w:rPr>
          <w:color w:val="000000"/>
        </w:rPr>
        <w:t xml:space="preserve"> </w:t>
      </w:r>
      <w:r w:rsidR="00B81B7E" w:rsidRPr="003B4EBC">
        <w:rPr>
          <w:color w:val="000000"/>
        </w:rPr>
        <w:t>Discovery</w:t>
      </w:r>
      <w:r w:rsidR="00BE6629">
        <w:rPr>
          <w:color w:val="000000"/>
        </w:rPr>
        <w:t>.</w:t>
      </w:r>
    </w:p>
    <w:p w:rsidR="00530280" w:rsidRDefault="00530280" w:rsidP="00F6565F">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1A0213" w:rsidRPr="00F01B8F" w:rsidRDefault="001A0213" w:rsidP="001A0213">
      <w:pPr>
        <w:numPr>
          <w:ilvl w:val="1"/>
          <w:numId w:val="1"/>
        </w:numPr>
        <w:tabs>
          <w:tab w:val="clear" w:pos="720"/>
          <w:tab w:val="left" w:pos="585"/>
          <w:tab w:val="num" w:pos="1125"/>
        </w:tabs>
        <w:spacing w:line="360" w:lineRule="auto"/>
        <w:ind w:left="558" w:right="-108" w:hanging="558"/>
        <w:jc w:val="both"/>
        <w:rPr>
          <w:bCs/>
        </w:rPr>
      </w:pPr>
      <w:r w:rsidRPr="00F01B8F">
        <w:rPr>
          <w:bCs/>
        </w:rPr>
        <w:t xml:space="preserve">Analyst-QC is responsible to follow this SOP. </w:t>
      </w:r>
    </w:p>
    <w:p w:rsidR="001A0213" w:rsidRPr="00F01B8F" w:rsidRDefault="001A0213" w:rsidP="001A0213">
      <w:pPr>
        <w:numPr>
          <w:ilvl w:val="1"/>
          <w:numId w:val="1"/>
        </w:numPr>
        <w:tabs>
          <w:tab w:val="clear" w:pos="720"/>
          <w:tab w:val="left" w:pos="585"/>
          <w:tab w:val="num" w:pos="1125"/>
        </w:tabs>
        <w:spacing w:line="360" w:lineRule="auto"/>
        <w:ind w:left="558" w:right="-108" w:hanging="558"/>
        <w:jc w:val="both"/>
        <w:rPr>
          <w:bCs/>
        </w:rPr>
      </w:pPr>
      <w:r w:rsidRPr="00F01B8F">
        <w:rPr>
          <w:bCs/>
        </w:rPr>
        <w:t>Head-QC/Designee is responsible for ensuring implementation of this SOP.</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Head-QA/Designee is responsible for monitoring overall compliance of this SOP.</w:t>
      </w:r>
    </w:p>
    <w:p w:rsidR="003B4EBC" w:rsidRPr="003B4EBC" w:rsidRDefault="003B4EBC" w:rsidP="00F6565F">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665058" w:rsidRDefault="00665058" w:rsidP="00665058">
      <w:pPr>
        <w:numPr>
          <w:ilvl w:val="1"/>
          <w:numId w:val="1"/>
        </w:numPr>
        <w:tabs>
          <w:tab w:val="clear" w:pos="720"/>
          <w:tab w:val="left" w:pos="585"/>
          <w:tab w:val="num" w:pos="1125"/>
        </w:tabs>
        <w:spacing w:line="360" w:lineRule="auto"/>
        <w:ind w:left="558" w:right="-108" w:hanging="558"/>
        <w:jc w:val="both"/>
        <w:rPr>
          <w:bCs/>
        </w:rPr>
      </w:pPr>
      <w:r w:rsidRPr="00665058">
        <w:rPr>
          <w:b/>
        </w:rPr>
        <w:t>Reference standard:</w:t>
      </w:r>
      <w:r>
        <w:rPr>
          <w:b/>
        </w:rPr>
        <w:t xml:space="preserve"> </w:t>
      </w:r>
      <w:r w:rsidRPr="00665058">
        <w:rPr>
          <w:bCs/>
        </w:rPr>
        <w:t>A substance that has been shown by an extensive set of analytical tests to be an authentic material that should be of high purity. These standards are procured from Pharmacopoeial sources like USP / EP / BP/JP /IP etc. In case of Non Pharmacopoeial products, the reference standards can be prepared in-house with the help of R&amp;D</w:t>
      </w:r>
      <w:r>
        <w:rPr>
          <w:bCs/>
        </w:rPr>
        <w:t>.</w:t>
      </w:r>
    </w:p>
    <w:p w:rsidR="00665058" w:rsidRDefault="00665058" w:rsidP="00665058">
      <w:pPr>
        <w:tabs>
          <w:tab w:val="left" w:pos="585"/>
        </w:tabs>
        <w:spacing w:line="360" w:lineRule="auto"/>
        <w:ind w:left="558" w:right="-108"/>
        <w:jc w:val="both"/>
      </w:pPr>
      <w:r w:rsidRPr="00AF3179">
        <w:t>The reference standards are also known as primary standards. The reference standards can be used in laboratories for determination of qualitative and quantitative analysis</w:t>
      </w:r>
      <w:r>
        <w:t>,</w:t>
      </w:r>
      <w:r w:rsidRPr="00AF3179">
        <w:t xml:space="preserve"> </w:t>
      </w:r>
      <w:r>
        <w:t>and also used to qualify the working standard.</w:t>
      </w:r>
    </w:p>
    <w:p w:rsidR="00665058" w:rsidRPr="00665058" w:rsidRDefault="00665058" w:rsidP="00665058">
      <w:pPr>
        <w:numPr>
          <w:ilvl w:val="1"/>
          <w:numId w:val="1"/>
        </w:numPr>
        <w:tabs>
          <w:tab w:val="clear" w:pos="720"/>
          <w:tab w:val="left" w:pos="585"/>
          <w:tab w:val="num" w:pos="1125"/>
        </w:tabs>
        <w:spacing w:line="360" w:lineRule="auto"/>
        <w:ind w:left="558" w:right="-108" w:hanging="558"/>
        <w:jc w:val="both"/>
        <w:rPr>
          <w:bCs/>
        </w:rPr>
      </w:pPr>
      <w:r w:rsidRPr="00B80BD9">
        <w:rPr>
          <w:b/>
        </w:rPr>
        <w:t>Certified reference material</w:t>
      </w:r>
      <w:r>
        <w:rPr>
          <w:b/>
        </w:rPr>
        <w:t xml:space="preserve">: </w:t>
      </w:r>
      <w:r w:rsidRPr="00665058">
        <w:rPr>
          <w:bCs/>
        </w:rPr>
        <w:t xml:space="preserve">The reference materials procured with certificate of analysis (traceable to National Institute of Standards and Technology </w:t>
      </w:r>
      <w:r>
        <w:rPr>
          <w:bCs/>
        </w:rPr>
        <w:t>(</w:t>
      </w:r>
      <w:r w:rsidRPr="00665058">
        <w:rPr>
          <w:bCs/>
        </w:rPr>
        <w:t>NIST</w:t>
      </w:r>
      <w:r>
        <w:rPr>
          <w:bCs/>
        </w:rPr>
        <w:t>)</w:t>
      </w:r>
      <w:r w:rsidRPr="00665058">
        <w:rPr>
          <w:bCs/>
        </w:rPr>
        <w:t>) from authentic sources like Sigma-Aldrich, Merck, Rankem, etc…. can be used in laboratory for quantitative/ Qualitative analysis purposes. The potency/purity provided on certificate shall be used directly in respective calculation.</w:t>
      </w:r>
    </w:p>
    <w:p w:rsidR="00665058" w:rsidRDefault="00665058" w:rsidP="00665058">
      <w:pPr>
        <w:tabs>
          <w:tab w:val="left" w:pos="585"/>
        </w:tabs>
        <w:spacing w:line="360" w:lineRule="auto"/>
        <w:ind w:left="558" w:right="-108"/>
        <w:jc w:val="both"/>
        <w:rPr>
          <w:bCs/>
        </w:rPr>
      </w:pPr>
      <w:r w:rsidRPr="00665058">
        <w:rPr>
          <w:bCs/>
        </w:rPr>
        <w:t>These reference materials can also be used to calibrate the equipments like MR, KF, HPLC and GC etc</w:t>
      </w:r>
      <w:r>
        <w:rPr>
          <w:bCs/>
        </w:rPr>
        <w:t>.</w:t>
      </w:r>
    </w:p>
    <w:p w:rsidR="00665058" w:rsidRDefault="00665058" w:rsidP="00665058">
      <w:pPr>
        <w:numPr>
          <w:ilvl w:val="1"/>
          <w:numId w:val="1"/>
        </w:numPr>
        <w:tabs>
          <w:tab w:val="clear" w:pos="720"/>
          <w:tab w:val="left" w:pos="585"/>
          <w:tab w:val="num" w:pos="1125"/>
        </w:tabs>
        <w:spacing w:line="360" w:lineRule="auto"/>
        <w:ind w:left="558" w:right="-108" w:hanging="558"/>
        <w:jc w:val="both"/>
        <w:rPr>
          <w:bCs/>
        </w:rPr>
      </w:pPr>
      <w:r w:rsidRPr="00B80BD9">
        <w:rPr>
          <w:b/>
        </w:rPr>
        <w:lastRenderedPageBreak/>
        <w:t>Working standard</w:t>
      </w:r>
      <w:r>
        <w:rPr>
          <w:b/>
        </w:rPr>
        <w:t xml:space="preserve">: </w:t>
      </w:r>
      <w:r w:rsidRPr="00665058">
        <w:t>The working standards are qualified against reference standards and shall be used for routine quantitative / qualitative analysis purposes. These are also known as secondary reference standard.</w:t>
      </w:r>
    </w:p>
    <w:p w:rsidR="004F6097" w:rsidRPr="00B00137" w:rsidRDefault="004F6097" w:rsidP="00F6565F">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665058" w:rsidRPr="00665058" w:rsidRDefault="00665058" w:rsidP="0031767A">
      <w:pPr>
        <w:numPr>
          <w:ilvl w:val="1"/>
          <w:numId w:val="1"/>
        </w:numPr>
        <w:tabs>
          <w:tab w:val="clear" w:pos="720"/>
          <w:tab w:val="left" w:pos="585"/>
          <w:tab w:val="num" w:pos="1125"/>
        </w:tabs>
        <w:spacing w:line="360" w:lineRule="auto"/>
        <w:ind w:left="558" w:right="-108" w:hanging="558"/>
        <w:jc w:val="both"/>
        <w:rPr>
          <w:b/>
          <w:color w:val="FF0000"/>
        </w:rPr>
      </w:pPr>
      <w:r w:rsidRPr="00B80BD9">
        <w:rPr>
          <w:b/>
        </w:rPr>
        <w:t>Qualification of in-house reference standards</w:t>
      </w:r>
      <w:r>
        <w:rPr>
          <w:b/>
        </w:rPr>
        <w:t>:</w:t>
      </w:r>
    </w:p>
    <w:p w:rsidR="00665058" w:rsidRP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665058">
        <w:t xml:space="preserve">For Pharmacopoeial products, the reference standards can be procured from </w:t>
      </w:r>
      <w:r w:rsidRPr="00AF3179">
        <w:t>Pharmacopoeial sources like USP / EP / BP/JP /IP etc</w:t>
      </w:r>
      <w:r>
        <w:t>…</w:t>
      </w:r>
      <w:r w:rsidRPr="00665058">
        <w:t xml:space="preserve"> or shall be prepared from in-house reference standards for both Pharmacopoeial and Non Pharmacopoeial products.</w:t>
      </w:r>
    </w:p>
    <w:p w:rsidR="00665058" w:rsidRP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665058">
        <w:t xml:space="preserve">The in-house reference standards can be prepared either by synthesis in R&amp;D or </w:t>
      </w:r>
      <w:r w:rsidRPr="002F5610">
        <w:t>from any vendor</w:t>
      </w:r>
      <w:r w:rsidRPr="00665058">
        <w:t xml:space="preserve"> or </w:t>
      </w:r>
      <w:r w:rsidRPr="002F5610">
        <w:t>from any of the high pure plant batch</w:t>
      </w:r>
      <w:r w:rsidRPr="00665058">
        <w:t>.</w:t>
      </w:r>
    </w:p>
    <w:p w:rsidR="00665058" w:rsidRP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665058">
        <w:t>The chemical structure identification shall be established and conformed by NMR, MASS and IR etc (NMR, MASS identification shall be done for first time only).</w:t>
      </w:r>
    </w:p>
    <w:p w:rsid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665058">
        <w:t>Qualification of in-house reference standard is performed by conducting full testing in duplicate as per respective approved procedure.</w:t>
      </w:r>
    </w:p>
    <w:p w:rsid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9F44DD">
        <w:t>The potency of in-house reference standard shall be determined by using mass balance method</w:t>
      </w:r>
      <w:r>
        <w:t>.</w:t>
      </w:r>
    </w:p>
    <w:p w:rsidR="00665058" w:rsidRDefault="00665058" w:rsidP="009706E7">
      <w:pPr>
        <w:autoSpaceDE w:val="0"/>
        <w:autoSpaceDN w:val="0"/>
        <w:adjustRightInd w:val="0"/>
        <w:spacing w:line="360" w:lineRule="auto"/>
        <w:ind w:left="1305" w:right="-108"/>
        <w:jc w:val="both"/>
      </w:pPr>
      <w:r w:rsidRPr="00E631A3">
        <w:t>Potency = 100 – (Total impurities by HPLC/GC + Water content / LOD + Residue on ignition / Sulphated ash + Residual solvents by GC)</w:t>
      </w:r>
      <w:r>
        <w:t>.</w:t>
      </w:r>
    </w:p>
    <w:p w:rsidR="00665058" w:rsidRP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154675">
        <w:t>The analytical data shall be recorded in the qualification protocol as per the format no</w:t>
      </w:r>
      <w:r>
        <w:t>.</w:t>
      </w:r>
      <w:r w:rsidRPr="00154675">
        <w:t xml:space="preserve"> </w:t>
      </w:r>
      <w:r w:rsidR="006C4ECC" w:rsidRPr="00862347">
        <w:rPr>
          <w:szCs w:val="28"/>
        </w:rPr>
        <w:t>QC0</w:t>
      </w:r>
      <w:r w:rsidR="006C4ECC">
        <w:rPr>
          <w:szCs w:val="28"/>
        </w:rPr>
        <w:t>05-</w:t>
      </w:r>
      <w:r w:rsidR="006C4ECC" w:rsidRPr="00862347">
        <w:rPr>
          <w:szCs w:val="28"/>
        </w:rPr>
        <w:t>F</w:t>
      </w:r>
      <w:r w:rsidR="006C4ECC">
        <w:rPr>
          <w:szCs w:val="28"/>
        </w:rPr>
        <w:t>M0</w:t>
      </w:r>
      <w:r w:rsidR="00245B5D">
        <w:rPr>
          <w:szCs w:val="28"/>
        </w:rPr>
        <w:t>78</w:t>
      </w:r>
      <w:r w:rsidR="009706E7">
        <w:t>.</w:t>
      </w:r>
      <w:r w:rsidRPr="00103635">
        <w:t xml:space="preserve"> </w:t>
      </w:r>
    </w:p>
    <w:p w:rsidR="00665058" w:rsidRP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103635">
        <w:t>A COA shall be prepared as per the format no</w:t>
      </w:r>
      <w:r>
        <w:t>.</w:t>
      </w:r>
      <w:r w:rsidRPr="00103635">
        <w:t xml:space="preserve"> </w:t>
      </w:r>
      <w:r w:rsidR="006C4ECC" w:rsidRPr="00862347">
        <w:rPr>
          <w:szCs w:val="28"/>
        </w:rPr>
        <w:t>QC0</w:t>
      </w:r>
      <w:r w:rsidR="006C4ECC">
        <w:rPr>
          <w:szCs w:val="28"/>
        </w:rPr>
        <w:t>05-</w:t>
      </w:r>
      <w:r w:rsidR="006C4ECC" w:rsidRPr="00862347">
        <w:rPr>
          <w:szCs w:val="28"/>
        </w:rPr>
        <w:t>F</w:t>
      </w:r>
      <w:r w:rsidR="006C4ECC">
        <w:rPr>
          <w:szCs w:val="28"/>
        </w:rPr>
        <w:t>M0</w:t>
      </w:r>
      <w:r w:rsidR="00245B5D">
        <w:rPr>
          <w:szCs w:val="28"/>
        </w:rPr>
        <w:t>36.</w:t>
      </w:r>
    </w:p>
    <w:p w:rsidR="00665058" w:rsidRDefault="00665058" w:rsidP="009706E7">
      <w:pPr>
        <w:numPr>
          <w:ilvl w:val="2"/>
          <w:numId w:val="1"/>
        </w:numPr>
        <w:tabs>
          <w:tab w:val="clear" w:pos="2160"/>
          <w:tab w:val="num" w:pos="1305"/>
        </w:tabs>
        <w:autoSpaceDE w:val="0"/>
        <w:autoSpaceDN w:val="0"/>
        <w:adjustRightInd w:val="0"/>
        <w:spacing w:line="360" w:lineRule="auto"/>
        <w:ind w:left="1305" w:right="-108" w:hanging="765"/>
        <w:jc w:val="both"/>
      </w:pPr>
      <w:r w:rsidRPr="009F44DD">
        <w:t>The batch numbering shall be followed for the reference standard as defined below</w:t>
      </w:r>
    </w:p>
    <w:p w:rsidR="00FD45E7" w:rsidRDefault="00FD45E7" w:rsidP="00FD45E7">
      <w:pPr>
        <w:pStyle w:val="BodyText"/>
        <w:tabs>
          <w:tab w:val="left" w:pos="1985"/>
          <w:tab w:val="num" w:pos="2100"/>
        </w:tabs>
        <w:spacing w:line="360" w:lineRule="auto"/>
        <w:ind w:left="2275" w:right="-7" w:hanging="1132"/>
        <w:contextualSpacing/>
        <w:jc w:val="both"/>
      </w:pPr>
    </w:p>
    <w:p w:rsidR="00FD45E7" w:rsidRDefault="00FD45E7" w:rsidP="00FD45E7">
      <w:pPr>
        <w:pStyle w:val="BodyText"/>
        <w:tabs>
          <w:tab w:val="left" w:pos="1985"/>
          <w:tab w:val="num" w:pos="2100"/>
        </w:tabs>
        <w:spacing w:line="360" w:lineRule="auto"/>
        <w:ind w:left="2275" w:right="-7" w:hanging="1132"/>
        <w:contextualSpacing/>
        <w:jc w:val="both"/>
      </w:pPr>
    </w:p>
    <w:p w:rsidR="00665058" w:rsidRPr="009F44DD" w:rsidRDefault="00665058" w:rsidP="00FD45E7">
      <w:pPr>
        <w:pStyle w:val="BodyText"/>
        <w:tabs>
          <w:tab w:val="left" w:pos="1985"/>
          <w:tab w:val="num" w:pos="2100"/>
        </w:tabs>
        <w:spacing w:line="360" w:lineRule="auto"/>
        <w:ind w:left="2275" w:right="-7" w:hanging="1132"/>
        <w:contextualSpacing/>
        <w:jc w:val="both"/>
        <w:rPr>
          <w:bCs/>
        </w:rPr>
      </w:pPr>
      <w:r w:rsidRPr="009F44DD">
        <w:t xml:space="preserve">Batch No: </w:t>
      </w:r>
      <w:r w:rsidRPr="00FD45E7">
        <w:rPr>
          <w:b/>
          <w:bCs/>
        </w:rPr>
        <w:t>XXX</w:t>
      </w:r>
      <w:r w:rsidR="00E31FA0">
        <w:rPr>
          <w:b/>
          <w:bCs/>
        </w:rPr>
        <w:t>Z</w:t>
      </w:r>
      <w:r w:rsidRPr="00FD45E7">
        <w:rPr>
          <w:b/>
          <w:bCs/>
        </w:rPr>
        <w:t xml:space="preserve">RSYYNNN </w:t>
      </w:r>
    </w:p>
    <w:p w:rsidR="00FD45E7" w:rsidRDefault="00665058" w:rsidP="00FD45E7">
      <w:pPr>
        <w:pStyle w:val="BodyText"/>
        <w:tabs>
          <w:tab w:val="left" w:pos="1985"/>
          <w:tab w:val="num" w:pos="2100"/>
        </w:tabs>
        <w:spacing w:line="360" w:lineRule="auto"/>
        <w:ind w:left="2275" w:right="-7" w:hanging="1132"/>
        <w:contextualSpacing/>
        <w:jc w:val="both"/>
      </w:pPr>
      <w:r>
        <w:t xml:space="preserve">Where:  </w:t>
      </w:r>
    </w:p>
    <w:p w:rsidR="00665058" w:rsidRDefault="00665058" w:rsidP="00FD45E7">
      <w:pPr>
        <w:pStyle w:val="BodyText"/>
        <w:tabs>
          <w:tab w:val="left" w:pos="1985"/>
          <w:tab w:val="num" w:pos="2100"/>
        </w:tabs>
        <w:spacing w:line="360" w:lineRule="auto"/>
        <w:ind w:left="2275" w:right="-7" w:hanging="1132"/>
        <w:contextualSpacing/>
        <w:jc w:val="both"/>
      </w:pPr>
      <w:r w:rsidRPr="00103635">
        <w:t>XXX</w:t>
      </w:r>
      <w:r w:rsidR="00FD45E7">
        <w:tab/>
      </w:r>
      <w:r w:rsidRPr="00103635">
        <w:t>indicates</w:t>
      </w:r>
      <w:r w:rsidR="00FD45E7">
        <w:tab/>
      </w:r>
      <w:r w:rsidR="00FD45E7">
        <w:tab/>
        <w:t xml:space="preserve">: </w:t>
      </w:r>
      <w:r w:rsidRPr="00103635">
        <w:t>Product Code</w:t>
      </w:r>
    </w:p>
    <w:p w:rsidR="00E31FA0" w:rsidRPr="009F44DD" w:rsidRDefault="00E31FA0" w:rsidP="00FD45E7">
      <w:pPr>
        <w:pStyle w:val="BodyText"/>
        <w:tabs>
          <w:tab w:val="left" w:pos="1985"/>
          <w:tab w:val="num" w:pos="2100"/>
        </w:tabs>
        <w:spacing w:line="360" w:lineRule="auto"/>
        <w:ind w:left="2275" w:right="-7" w:hanging="1132"/>
        <w:contextualSpacing/>
        <w:jc w:val="both"/>
      </w:pPr>
      <w:r>
        <w:t>Z</w:t>
      </w:r>
      <w:r>
        <w:tab/>
        <w:t>Indicates</w:t>
      </w:r>
      <w:r>
        <w:tab/>
      </w:r>
      <w:r>
        <w:tab/>
        <w:t>: Stage</w:t>
      </w:r>
    </w:p>
    <w:p w:rsidR="00FD45E7" w:rsidRDefault="00665058" w:rsidP="00FD45E7">
      <w:pPr>
        <w:pStyle w:val="BodyText"/>
        <w:tabs>
          <w:tab w:val="left" w:pos="1985"/>
          <w:tab w:val="num" w:pos="2100"/>
        </w:tabs>
        <w:spacing w:line="360" w:lineRule="auto"/>
        <w:ind w:left="2275" w:right="-7" w:hanging="1132"/>
        <w:contextualSpacing/>
        <w:jc w:val="both"/>
      </w:pPr>
      <w:r w:rsidRPr="009F44DD">
        <w:t>RS</w:t>
      </w:r>
      <w:r w:rsidR="00FD45E7">
        <w:tab/>
      </w:r>
      <w:r w:rsidRPr="009F44DD">
        <w:t>indicates</w:t>
      </w:r>
      <w:r w:rsidR="00FD45E7">
        <w:tab/>
      </w:r>
      <w:r w:rsidR="00FD45E7">
        <w:tab/>
        <w:t>:</w:t>
      </w:r>
      <w:r w:rsidRPr="009F44DD">
        <w:t xml:space="preserve"> Reference standard</w:t>
      </w:r>
    </w:p>
    <w:p w:rsidR="00665058" w:rsidRDefault="00665058" w:rsidP="00FD45E7">
      <w:pPr>
        <w:pStyle w:val="BodyText"/>
        <w:tabs>
          <w:tab w:val="left" w:pos="1985"/>
          <w:tab w:val="num" w:pos="2100"/>
        </w:tabs>
        <w:spacing w:line="360" w:lineRule="auto"/>
        <w:ind w:left="2275" w:right="-7" w:hanging="1132"/>
        <w:contextualSpacing/>
        <w:jc w:val="both"/>
      </w:pPr>
      <w:r w:rsidRPr="00323568">
        <w:t>YY</w:t>
      </w:r>
      <w:r>
        <w:t xml:space="preserve">   </w:t>
      </w:r>
      <w:r w:rsidR="00FD45E7">
        <w:tab/>
      </w:r>
      <w:r w:rsidRPr="00323568">
        <w:t xml:space="preserve">indicates </w:t>
      </w:r>
      <w:r w:rsidR="00FD45E7">
        <w:tab/>
        <w:t xml:space="preserve">: </w:t>
      </w:r>
      <w:r>
        <w:t>Year code [201</w:t>
      </w:r>
      <w:r w:rsidR="00FD45E7">
        <w:t>7</w:t>
      </w:r>
      <w:r>
        <w:t xml:space="preserve"> shall be reflected as 1</w:t>
      </w:r>
      <w:r w:rsidR="00FD45E7">
        <w:t>7</w:t>
      </w:r>
      <w:r w:rsidRPr="00323568">
        <w:t>]</w:t>
      </w:r>
    </w:p>
    <w:p w:rsidR="00665058" w:rsidRDefault="00665058" w:rsidP="00FD45E7">
      <w:pPr>
        <w:pStyle w:val="BodyText"/>
        <w:tabs>
          <w:tab w:val="left" w:pos="1985"/>
          <w:tab w:val="num" w:pos="2100"/>
        </w:tabs>
        <w:spacing w:line="360" w:lineRule="auto"/>
        <w:ind w:left="2275" w:right="-7" w:hanging="1132"/>
        <w:contextualSpacing/>
        <w:jc w:val="both"/>
      </w:pPr>
      <w:r w:rsidRPr="00323568">
        <w:t>NNN</w:t>
      </w:r>
      <w:r w:rsidR="00FD45E7">
        <w:tab/>
      </w:r>
      <w:r w:rsidRPr="00323568">
        <w:t xml:space="preserve">indicates </w:t>
      </w:r>
      <w:r w:rsidR="00FD45E7">
        <w:tab/>
        <w:t>: S</w:t>
      </w:r>
      <w:r w:rsidRPr="00323568">
        <w:t>erial number starting from 001 w.r.t. product.</w:t>
      </w:r>
    </w:p>
    <w:p w:rsidR="00E31FA0" w:rsidRDefault="00E31FA0" w:rsidP="00FD45E7">
      <w:pPr>
        <w:pStyle w:val="BodyText"/>
        <w:tabs>
          <w:tab w:val="left" w:pos="1985"/>
          <w:tab w:val="num" w:pos="2100"/>
        </w:tabs>
        <w:spacing w:line="360" w:lineRule="auto"/>
        <w:ind w:left="2275" w:right="-7" w:hanging="1132"/>
        <w:contextualSpacing/>
        <w:jc w:val="both"/>
      </w:pPr>
      <w:r>
        <w:t>e.g.: DAH-IRS16001</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rsidRPr="002B2DD2">
        <w:t xml:space="preserve">Validity period for </w:t>
      </w:r>
      <w:r>
        <w:t xml:space="preserve">reference standard </w:t>
      </w:r>
      <w:r w:rsidRPr="002B2DD2">
        <w:t>shall be</w:t>
      </w:r>
      <w:r>
        <w:t xml:space="preserve"> three</w:t>
      </w:r>
      <w:r w:rsidRPr="002B2DD2">
        <w:t xml:space="preserve"> year</w:t>
      </w:r>
      <w:r>
        <w:t>s</w:t>
      </w:r>
      <w:r w:rsidRPr="002B2DD2">
        <w:t xml:space="preserve"> from the effective date.</w:t>
      </w:r>
    </w:p>
    <w:p w:rsidR="00FD45E7" w:rsidRPr="00103635" w:rsidRDefault="00FD45E7" w:rsidP="009706E7">
      <w:pPr>
        <w:autoSpaceDE w:val="0"/>
        <w:autoSpaceDN w:val="0"/>
        <w:adjustRightInd w:val="0"/>
        <w:spacing w:line="360" w:lineRule="auto"/>
        <w:ind w:left="1305" w:right="-108"/>
        <w:jc w:val="both"/>
      </w:pPr>
      <w:r>
        <w:t>A list of reference standards shall be maintained as per the format no.</w:t>
      </w:r>
      <w:r w:rsidRPr="00103635">
        <w:t>QC0</w:t>
      </w:r>
      <w:r w:rsidR="00245B5D">
        <w:t>05-</w:t>
      </w:r>
      <w:r w:rsidRPr="00103635">
        <w:t>F</w:t>
      </w:r>
      <w:r w:rsidR="00245B5D">
        <w:t>M</w:t>
      </w:r>
      <w:r w:rsidRPr="00103635">
        <w:t>03</w:t>
      </w:r>
      <w:r w:rsidR="00245B5D">
        <w:t>5</w:t>
      </w:r>
      <w:r>
        <w:t>.</w:t>
      </w:r>
    </w:p>
    <w:p w:rsidR="00FD45E7" w:rsidRPr="00D921DE"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rsidRPr="00FD45E7">
        <w:t>For reference standard, 2-4 gms shall be packed in a vial for analysis and the remaining will be packed in double LDPE bags, further packed in triple laminated cover and will be stored at ambient or 2-8°C or freezer as per applicability of the product.</w:t>
      </w:r>
    </w:p>
    <w:p w:rsidR="00FD45E7" w:rsidRPr="00FD45E7" w:rsidRDefault="00FD45E7" w:rsidP="00FD45E7">
      <w:pPr>
        <w:numPr>
          <w:ilvl w:val="1"/>
          <w:numId w:val="1"/>
        </w:numPr>
        <w:tabs>
          <w:tab w:val="clear" w:pos="720"/>
          <w:tab w:val="left" w:pos="585"/>
          <w:tab w:val="num" w:pos="1125"/>
        </w:tabs>
        <w:spacing w:line="360" w:lineRule="auto"/>
        <w:ind w:left="558" w:right="-108" w:hanging="558"/>
        <w:jc w:val="both"/>
        <w:rPr>
          <w:b/>
        </w:rPr>
      </w:pPr>
      <w:r w:rsidRPr="00FD45E7">
        <w:rPr>
          <w:b/>
        </w:rPr>
        <w:t>Qualification of working standard:</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A latest and high pure approved batch shall be selected for the qualification of working standard.</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The identified approved batch of the product shall undergo full testing as per the respective Specification and Standard Testing procedure (STP).</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If reference standard is not available, then the potency shall be calculated by mass balance method.</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Description test shall be performed as per respective testing procedure.</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The Identification test shall be performed against official pharmacopoeia reference standards or against the in-house reference standard or against previous working standard. Or shall be compared against IR reference spectra provided in pharmacopoeias or authentic IR library source.</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 xml:space="preserve">Water Content / Loss on drying test shall be performed in duplicate as per respective testing procedure. </w:t>
      </w:r>
    </w:p>
    <w:p w:rsidR="00665058"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Chromatographic purity by HPLC/GC or Related substances by HPLC/GC shall be performed in duplicate as per respective testing procedure in the below sequence.</w:t>
      </w:r>
    </w:p>
    <w:p w:rsidR="00FD45E7" w:rsidRDefault="00FD45E7" w:rsidP="009A1190">
      <w:pPr>
        <w:autoSpaceDE w:val="0"/>
        <w:autoSpaceDN w:val="0"/>
        <w:adjustRightInd w:val="0"/>
        <w:spacing w:line="360" w:lineRule="auto"/>
        <w:ind w:left="1305" w:right="-108"/>
        <w:jc w:val="both"/>
      </w:pPr>
      <w:r>
        <w:t>Sequence :</w:t>
      </w:r>
    </w:p>
    <w:p w:rsidR="00FD45E7" w:rsidRDefault="00FD45E7" w:rsidP="009706E7">
      <w:pPr>
        <w:numPr>
          <w:ilvl w:val="3"/>
          <w:numId w:val="1"/>
        </w:numPr>
        <w:tabs>
          <w:tab w:val="clear" w:pos="2250"/>
          <w:tab w:val="num" w:pos="1962"/>
        </w:tabs>
        <w:autoSpaceDE w:val="0"/>
        <w:autoSpaceDN w:val="0"/>
        <w:adjustRightInd w:val="0"/>
        <w:spacing w:line="360" w:lineRule="auto"/>
        <w:ind w:left="1962" w:right="-108" w:hanging="657"/>
        <w:jc w:val="both"/>
      </w:pPr>
      <w:r>
        <w:t>Blank/ Diluent   inj-01</w:t>
      </w:r>
    </w:p>
    <w:p w:rsidR="00FD45E7" w:rsidRDefault="00FD45E7" w:rsidP="009706E7">
      <w:pPr>
        <w:numPr>
          <w:ilvl w:val="3"/>
          <w:numId w:val="1"/>
        </w:numPr>
        <w:tabs>
          <w:tab w:val="clear" w:pos="2250"/>
          <w:tab w:val="num" w:pos="1143"/>
          <w:tab w:val="num" w:pos="1962"/>
        </w:tabs>
        <w:autoSpaceDE w:val="0"/>
        <w:autoSpaceDN w:val="0"/>
        <w:adjustRightInd w:val="0"/>
        <w:spacing w:line="360" w:lineRule="auto"/>
        <w:ind w:left="1962" w:right="-108" w:hanging="657"/>
        <w:jc w:val="both"/>
      </w:pPr>
      <w:r>
        <w:t>Blank / Diluent  inj-01 if required.</w:t>
      </w:r>
    </w:p>
    <w:p w:rsidR="00FD45E7" w:rsidRDefault="00FD45E7" w:rsidP="009706E7">
      <w:pPr>
        <w:numPr>
          <w:ilvl w:val="3"/>
          <w:numId w:val="1"/>
        </w:numPr>
        <w:tabs>
          <w:tab w:val="clear" w:pos="2250"/>
          <w:tab w:val="num" w:pos="1143"/>
          <w:tab w:val="num" w:pos="1962"/>
        </w:tabs>
        <w:autoSpaceDE w:val="0"/>
        <w:autoSpaceDN w:val="0"/>
        <w:adjustRightInd w:val="0"/>
        <w:spacing w:line="360" w:lineRule="auto"/>
        <w:ind w:left="1962" w:right="-108" w:hanging="657"/>
        <w:jc w:val="both"/>
      </w:pPr>
      <w:r>
        <w:t>Standard preparation inj-01</w:t>
      </w:r>
    </w:p>
    <w:p w:rsidR="00FD45E7" w:rsidRDefault="00FD45E7" w:rsidP="009706E7">
      <w:pPr>
        <w:numPr>
          <w:ilvl w:val="3"/>
          <w:numId w:val="1"/>
        </w:numPr>
        <w:tabs>
          <w:tab w:val="clear" w:pos="2250"/>
          <w:tab w:val="num" w:pos="1143"/>
          <w:tab w:val="num" w:pos="1962"/>
        </w:tabs>
        <w:autoSpaceDE w:val="0"/>
        <w:autoSpaceDN w:val="0"/>
        <w:adjustRightInd w:val="0"/>
        <w:spacing w:line="360" w:lineRule="auto"/>
        <w:ind w:left="1962" w:right="-108" w:hanging="657"/>
        <w:jc w:val="both"/>
      </w:pPr>
      <w:r>
        <w:t>Sample preparation-1 inj-01</w:t>
      </w:r>
    </w:p>
    <w:p w:rsidR="00665058" w:rsidRDefault="00FD45E7" w:rsidP="009706E7">
      <w:pPr>
        <w:numPr>
          <w:ilvl w:val="3"/>
          <w:numId w:val="1"/>
        </w:numPr>
        <w:tabs>
          <w:tab w:val="clear" w:pos="2250"/>
          <w:tab w:val="num" w:pos="1143"/>
          <w:tab w:val="num" w:pos="1962"/>
        </w:tabs>
        <w:autoSpaceDE w:val="0"/>
        <w:autoSpaceDN w:val="0"/>
        <w:adjustRightInd w:val="0"/>
        <w:spacing w:line="360" w:lineRule="auto"/>
        <w:ind w:left="1962" w:right="-108" w:hanging="657"/>
        <w:jc w:val="both"/>
      </w:pPr>
      <w:r>
        <w:t>Sample preparation-2 inj-01</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t>Calculate the average of two preparations, if and only if, the obtained results of two preparations are within the specification limit.</w:t>
      </w:r>
    </w:p>
    <w:p w:rsidR="00FD45E7"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rsidRPr="00E631A3">
        <w:t>The purity/potency of working standard shall be defined as follows by mass balance method.</w:t>
      </w:r>
    </w:p>
    <w:p w:rsidR="00FD45E7" w:rsidRPr="00E631A3" w:rsidRDefault="00FD45E7" w:rsidP="009706E7">
      <w:pPr>
        <w:autoSpaceDE w:val="0"/>
        <w:autoSpaceDN w:val="0"/>
        <w:adjustRightInd w:val="0"/>
        <w:spacing w:line="360" w:lineRule="auto"/>
        <w:ind w:left="1305" w:right="-108"/>
        <w:jc w:val="both"/>
      </w:pPr>
      <w:r w:rsidRPr="00E631A3">
        <w:t>Potency = 100 – (Total impurities by HPLC/GC + Water content / LOD + Residue on ignition / Sulphated ash + Residual solvents by GC)</w:t>
      </w:r>
      <w:r>
        <w:t>.</w:t>
      </w:r>
    </w:p>
    <w:p w:rsidR="00FD45E7" w:rsidRPr="008D608D" w:rsidRDefault="00FD45E7" w:rsidP="009706E7">
      <w:pPr>
        <w:numPr>
          <w:ilvl w:val="2"/>
          <w:numId w:val="1"/>
        </w:numPr>
        <w:tabs>
          <w:tab w:val="clear" w:pos="2160"/>
          <w:tab w:val="num" w:pos="1305"/>
        </w:tabs>
        <w:autoSpaceDE w:val="0"/>
        <w:autoSpaceDN w:val="0"/>
        <w:adjustRightInd w:val="0"/>
        <w:spacing w:line="360" w:lineRule="auto"/>
        <w:ind w:left="1305" w:right="-108" w:hanging="765"/>
        <w:jc w:val="both"/>
      </w:pPr>
      <w:r w:rsidRPr="002B2303">
        <w:t xml:space="preserve">In case of non availability of approved product, the existing working standard validity shall be extended by re-testing the parameters; </w:t>
      </w:r>
      <w:r>
        <w:t>d</w:t>
      </w:r>
      <w:r w:rsidRPr="002B2303">
        <w:t xml:space="preserve">escription, water/LOD and Chromatographic purity (by area normalization method) tests shall be verified as per </w:t>
      </w:r>
      <w:r w:rsidRPr="00FD45E7">
        <w:t>the respective Specification and STP, t</w:t>
      </w:r>
      <w:r w:rsidRPr="002B2303">
        <w:t>he potency shall be cal</w:t>
      </w:r>
      <w:r>
        <w:t>culated by mass balance method. T</w:t>
      </w:r>
      <w:r w:rsidRPr="008D608D">
        <w:t>he retested results of chromatographic purity should be with-in the specification.</w:t>
      </w:r>
    </w:p>
    <w:p w:rsidR="009706E7" w:rsidRPr="0069556C" w:rsidRDefault="009706E7" w:rsidP="009706E7">
      <w:pPr>
        <w:numPr>
          <w:ilvl w:val="2"/>
          <w:numId w:val="1"/>
        </w:numPr>
        <w:tabs>
          <w:tab w:val="clear" w:pos="2160"/>
          <w:tab w:val="num" w:pos="1305"/>
        </w:tabs>
        <w:autoSpaceDE w:val="0"/>
        <w:autoSpaceDN w:val="0"/>
        <w:adjustRightInd w:val="0"/>
        <w:spacing w:line="360" w:lineRule="auto"/>
        <w:ind w:left="1305" w:right="-108" w:hanging="765"/>
        <w:jc w:val="both"/>
      </w:pPr>
      <w:r>
        <w:t xml:space="preserve">If reference standard are available, then the assay (potency) of selected approved batch shall be determined as per below </w:t>
      </w:r>
      <w:r w:rsidRPr="009706E7">
        <w:t>sequence.</w:t>
      </w:r>
    </w:p>
    <w:p w:rsidR="009A1190" w:rsidRPr="007C7F88" w:rsidRDefault="009A1190" w:rsidP="00372979">
      <w:pPr>
        <w:numPr>
          <w:ilvl w:val="3"/>
          <w:numId w:val="1"/>
        </w:numPr>
        <w:tabs>
          <w:tab w:val="left" w:pos="2520"/>
        </w:tabs>
        <w:autoSpaceDE w:val="0"/>
        <w:autoSpaceDN w:val="0"/>
        <w:adjustRightInd w:val="0"/>
        <w:spacing w:line="360" w:lineRule="auto"/>
        <w:ind w:right="-108"/>
        <w:jc w:val="both"/>
      </w:pPr>
      <w:r w:rsidRPr="00372979">
        <w:t>The injection sequence shall be as follows-</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Blank (diluent) – One injection.</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System suitability solution – One injection (if only required)</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Reference standard solution – Five/Six injections as per respective STP.</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Sample preparation 1 – Two injections.</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Sample preparation 2 – Two injections.</w:t>
      </w:r>
    </w:p>
    <w:p w:rsidR="00372979" w:rsidRPr="00372979" w:rsidRDefault="00372979" w:rsidP="00372979">
      <w:pPr>
        <w:numPr>
          <w:ilvl w:val="3"/>
          <w:numId w:val="1"/>
        </w:numPr>
        <w:tabs>
          <w:tab w:val="left" w:pos="2520"/>
        </w:tabs>
        <w:autoSpaceDE w:val="0"/>
        <w:autoSpaceDN w:val="0"/>
        <w:adjustRightInd w:val="0"/>
        <w:spacing w:line="360" w:lineRule="auto"/>
        <w:ind w:right="-108"/>
        <w:jc w:val="both"/>
      </w:pPr>
      <w:r w:rsidRPr="00372979">
        <w:t>System suitability solution – One injection (if only required).</w:t>
      </w:r>
    </w:p>
    <w:p w:rsidR="00665058" w:rsidRDefault="00372979" w:rsidP="00372979">
      <w:pPr>
        <w:numPr>
          <w:ilvl w:val="2"/>
          <w:numId w:val="1"/>
        </w:numPr>
        <w:tabs>
          <w:tab w:val="clear" w:pos="2160"/>
          <w:tab w:val="num" w:pos="1305"/>
        </w:tabs>
        <w:autoSpaceDE w:val="0"/>
        <w:autoSpaceDN w:val="0"/>
        <w:adjustRightInd w:val="0"/>
        <w:spacing w:line="360" w:lineRule="auto"/>
        <w:ind w:left="1305" w:right="-108" w:hanging="765"/>
        <w:jc w:val="both"/>
      </w:pPr>
      <w:r w:rsidRPr="00372979">
        <w:t>If system suitability analyst are different than the assay standard and sample preparation, an additional blank shall be injected after system suitability injection to avoid any possible carry over.</w:t>
      </w:r>
    </w:p>
    <w:p w:rsidR="00372979" w:rsidRPr="00AF3179" w:rsidRDefault="00372979" w:rsidP="00372979">
      <w:pPr>
        <w:autoSpaceDE w:val="0"/>
        <w:autoSpaceDN w:val="0"/>
        <w:adjustRightInd w:val="0"/>
        <w:spacing w:line="360" w:lineRule="auto"/>
        <w:ind w:left="1305" w:right="-108"/>
        <w:jc w:val="both"/>
      </w:pPr>
      <w:r w:rsidRPr="00372979">
        <w:t>Calculate the results as follows.</w:t>
      </w:r>
    </w:p>
    <w:p w:rsidR="00372979" w:rsidRPr="00372979" w:rsidRDefault="00372979" w:rsidP="00372979">
      <w:pPr>
        <w:autoSpaceDE w:val="0"/>
        <w:autoSpaceDN w:val="0"/>
        <w:adjustRightInd w:val="0"/>
        <w:spacing w:line="360" w:lineRule="auto"/>
        <w:ind w:left="1305" w:right="-108"/>
        <w:jc w:val="both"/>
      </w:pPr>
      <w:r w:rsidRPr="00372979">
        <w:t>Assay 1: Sample preparation 1 Vs standard solution.</w:t>
      </w:r>
    </w:p>
    <w:p w:rsidR="00372979" w:rsidRPr="00372979" w:rsidRDefault="00372979" w:rsidP="00372979">
      <w:pPr>
        <w:autoSpaceDE w:val="0"/>
        <w:autoSpaceDN w:val="0"/>
        <w:adjustRightInd w:val="0"/>
        <w:spacing w:line="360" w:lineRule="auto"/>
        <w:ind w:left="1305" w:right="-108"/>
        <w:jc w:val="both"/>
      </w:pPr>
      <w:r w:rsidRPr="00372979">
        <w:t>Assay 2: Sample preparation 2 Vs standard solution.</w:t>
      </w:r>
    </w:p>
    <w:p w:rsidR="00372979" w:rsidRPr="00372979" w:rsidRDefault="00372979" w:rsidP="00372979">
      <w:pPr>
        <w:numPr>
          <w:ilvl w:val="2"/>
          <w:numId w:val="1"/>
        </w:numPr>
        <w:tabs>
          <w:tab w:val="clear" w:pos="2160"/>
          <w:tab w:val="num" w:pos="1305"/>
        </w:tabs>
        <w:autoSpaceDE w:val="0"/>
        <w:autoSpaceDN w:val="0"/>
        <w:adjustRightInd w:val="0"/>
        <w:spacing w:line="360" w:lineRule="auto"/>
        <w:ind w:left="1305" w:right="-108" w:hanging="765"/>
        <w:jc w:val="both"/>
      </w:pPr>
      <w:r w:rsidRPr="00372979">
        <w:t>The variation between the two assay results shall not be more than ± 0.5 % w/w and it shall not be more than ± 1.0% with respect to the initial release result.</w:t>
      </w:r>
    </w:p>
    <w:p w:rsidR="00372979" w:rsidRPr="00372979" w:rsidRDefault="00372979" w:rsidP="00372979">
      <w:pPr>
        <w:numPr>
          <w:ilvl w:val="2"/>
          <w:numId w:val="1"/>
        </w:numPr>
        <w:tabs>
          <w:tab w:val="clear" w:pos="2160"/>
          <w:tab w:val="num" w:pos="1305"/>
        </w:tabs>
        <w:autoSpaceDE w:val="0"/>
        <w:autoSpaceDN w:val="0"/>
        <w:adjustRightInd w:val="0"/>
        <w:spacing w:line="360" w:lineRule="auto"/>
        <w:ind w:left="1305" w:right="-108" w:hanging="765"/>
        <w:jc w:val="both"/>
      </w:pPr>
      <w:r w:rsidRPr="00372979">
        <w:t>The working standard numb</w:t>
      </w:r>
      <w:r>
        <w:t>er shall be assigned as follows;</w:t>
      </w:r>
    </w:p>
    <w:p w:rsidR="00372979" w:rsidRDefault="00372979" w:rsidP="00372979">
      <w:pPr>
        <w:autoSpaceDE w:val="0"/>
        <w:autoSpaceDN w:val="0"/>
        <w:adjustRightInd w:val="0"/>
        <w:spacing w:line="360" w:lineRule="auto"/>
        <w:ind w:left="1305" w:right="-108"/>
        <w:jc w:val="both"/>
      </w:pPr>
      <w:r w:rsidRPr="00D57A7F">
        <w:t xml:space="preserve">Batch No: </w:t>
      </w:r>
      <w:r w:rsidRPr="00372979">
        <w:t>XXX</w:t>
      </w:r>
      <w:r w:rsidR="00E31FA0">
        <w:t>Z</w:t>
      </w:r>
      <w:r w:rsidRPr="00372979">
        <w:t>WSYYNNN</w:t>
      </w:r>
    </w:p>
    <w:p w:rsidR="00372979" w:rsidRDefault="00372979" w:rsidP="00372979">
      <w:pPr>
        <w:autoSpaceDE w:val="0"/>
        <w:autoSpaceDN w:val="0"/>
        <w:adjustRightInd w:val="0"/>
        <w:spacing w:line="360" w:lineRule="auto"/>
        <w:ind w:left="1305" w:right="-108"/>
        <w:jc w:val="both"/>
      </w:pPr>
      <w:r w:rsidRPr="00D57A7F">
        <w:t>Where</w:t>
      </w:r>
      <w:r>
        <w:t>,</w:t>
      </w:r>
    </w:p>
    <w:p w:rsidR="00372979" w:rsidRDefault="00372979" w:rsidP="00372979">
      <w:pPr>
        <w:autoSpaceDE w:val="0"/>
        <w:autoSpaceDN w:val="0"/>
        <w:adjustRightInd w:val="0"/>
        <w:spacing w:line="360" w:lineRule="auto"/>
        <w:ind w:left="1305" w:right="-108"/>
        <w:jc w:val="both"/>
      </w:pPr>
      <w:r w:rsidRPr="00D57A7F">
        <w:t>XXX</w:t>
      </w:r>
      <w:r>
        <w:tab/>
      </w:r>
      <w:r w:rsidRPr="00D57A7F">
        <w:t xml:space="preserve">indicates </w:t>
      </w:r>
      <w:r>
        <w:tab/>
        <w:t xml:space="preserve">: </w:t>
      </w:r>
      <w:r w:rsidRPr="00D57A7F">
        <w:t>Product Code</w:t>
      </w:r>
    </w:p>
    <w:p w:rsidR="00E31FA0" w:rsidRPr="00372979" w:rsidRDefault="00E31FA0" w:rsidP="00372979">
      <w:pPr>
        <w:autoSpaceDE w:val="0"/>
        <w:autoSpaceDN w:val="0"/>
        <w:adjustRightInd w:val="0"/>
        <w:spacing w:line="360" w:lineRule="auto"/>
        <w:ind w:left="1305" w:right="-108"/>
        <w:jc w:val="both"/>
      </w:pPr>
      <w:r>
        <w:t>Z</w:t>
      </w:r>
      <w:r>
        <w:tab/>
        <w:t>indicates</w:t>
      </w:r>
      <w:r>
        <w:tab/>
        <w:t>: Stage</w:t>
      </w:r>
    </w:p>
    <w:p w:rsidR="00372979" w:rsidRPr="00D57A7F" w:rsidRDefault="00372979" w:rsidP="00372979">
      <w:pPr>
        <w:autoSpaceDE w:val="0"/>
        <w:autoSpaceDN w:val="0"/>
        <w:adjustRightInd w:val="0"/>
        <w:spacing w:line="360" w:lineRule="auto"/>
        <w:ind w:left="1305" w:right="-108"/>
        <w:jc w:val="both"/>
      </w:pPr>
      <w:r>
        <w:t>W</w:t>
      </w:r>
      <w:r w:rsidRPr="00D57A7F">
        <w:t>S</w:t>
      </w:r>
      <w:r>
        <w:tab/>
      </w:r>
      <w:r w:rsidRPr="00D57A7F">
        <w:t>indicates</w:t>
      </w:r>
      <w:r>
        <w:tab/>
        <w:t>:</w:t>
      </w:r>
      <w:r w:rsidRPr="00D57A7F">
        <w:t xml:space="preserve"> </w:t>
      </w:r>
      <w:r>
        <w:t>Working</w:t>
      </w:r>
      <w:r w:rsidRPr="00D57A7F">
        <w:t xml:space="preserve"> standard</w:t>
      </w:r>
    </w:p>
    <w:p w:rsidR="00372979" w:rsidRPr="00D57A7F" w:rsidRDefault="00372979" w:rsidP="00372979">
      <w:pPr>
        <w:autoSpaceDE w:val="0"/>
        <w:autoSpaceDN w:val="0"/>
        <w:adjustRightInd w:val="0"/>
        <w:spacing w:line="360" w:lineRule="auto"/>
        <w:ind w:left="1305" w:right="-108"/>
        <w:jc w:val="both"/>
      </w:pPr>
      <w:r w:rsidRPr="00D57A7F">
        <w:t>YY</w:t>
      </w:r>
      <w:r>
        <w:t xml:space="preserve"> </w:t>
      </w:r>
      <w:r>
        <w:tab/>
      </w:r>
      <w:r w:rsidRPr="00D57A7F">
        <w:t>indicates</w:t>
      </w:r>
      <w:r>
        <w:tab/>
        <w:t>:</w:t>
      </w:r>
      <w:r w:rsidRPr="00D57A7F">
        <w:t xml:space="preserve"> </w:t>
      </w:r>
      <w:r>
        <w:t>Year code [2016 shall be reflected as 16</w:t>
      </w:r>
      <w:r w:rsidRPr="00D57A7F">
        <w:t>]</w:t>
      </w:r>
    </w:p>
    <w:p w:rsidR="00372979" w:rsidRDefault="00372979" w:rsidP="00372979">
      <w:pPr>
        <w:autoSpaceDE w:val="0"/>
        <w:autoSpaceDN w:val="0"/>
        <w:adjustRightInd w:val="0"/>
        <w:spacing w:line="360" w:lineRule="auto"/>
        <w:ind w:left="1305" w:right="-108"/>
        <w:jc w:val="both"/>
      </w:pPr>
      <w:r w:rsidRPr="00D57A7F">
        <w:t>NNN</w:t>
      </w:r>
      <w:r>
        <w:tab/>
      </w:r>
      <w:r w:rsidRPr="00D57A7F">
        <w:t xml:space="preserve">indicates </w:t>
      </w:r>
      <w:r>
        <w:tab/>
        <w:t>: S</w:t>
      </w:r>
      <w:r w:rsidRPr="00D57A7F">
        <w:t>erial number starting from 001 w.r.t. product.</w:t>
      </w:r>
    </w:p>
    <w:p w:rsidR="00E31FA0" w:rsidRDefault="00E31FA0" w:rsidP="00372979">
      <w:pPr>
        <w:autoSpaceDE w:val="0"/>
        <w:autoSpaceDN w:val="0"/>
        <w:adjustRightInd w:val="0"/>
        <w:spacing w:line="360" w:lineRule="auto"/>
        <w:ind w:left="1305" w:right="-108"/>
        <w:jc w:val="both"/>
      </w:pPr>
      <w:r>
        <w:t>e.g.; DAH-IWS16001</w:t>
      </w:r>
    </w:p>
    <w:p w:rsidR="008658E5" w:rsidRP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8658E5">
        <w:t xml:space="preserve">The analytical data shall be recorded in the qualification protocol as per the format no </w:t>
      </w:r>
      <w:r w:rsidR="00245B5D" w:rsidRPr="00245B5D">
        <w:rPr>
          <w:szCs w:val="28"/>
        </w:rPr>
        <w:t>QC005-FM078</w:t>
      </w:r>
      <w:r w:rsidRPr="008658E5">
        <w:t>.</w:t>
      </w:r>
    </w:p>
    <w:p w:rsidR="008658E5" w:rsidRP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8658E5">
        <w:t xml:space="preserve">A COA shall be prepared as per the format: </w:t>
      </w:r>
      <w:r w:rsidR="00245B5D" w:rsidRPr="00245B5D">
        <w:rPr>
          <w:szCs w:val="28"/>
        </w:rPr>
        <w:t>QC005-FM036</w:t>
      </w:r>
      <w:r w:rsidRPr="008658E5">
        <w:t xml:space="preserve">. </w:t>
      </w:r>
    </w:p>
    <w:p w:rsidR="008658E5" w:rsidRP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8658E5">
        <w:t>Validity period for working standard shall be one year from the effective date.</w:t>
      </w:r>
    </w:p>
    <w:p w:rsid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8658E5">
        <w:t>List of working standard shall be prepared as per format no.: QC</w:t>
      </w:r>
      <w:r w:rsidR="00245B5D">
        <w:t>005-FM035</w:t>
      </w:r>
      <w:r w:rsidRPr="008658E5">
        <w:t>.</w:t>
      </w:r>
    </w:p>
    <w:p w:rsidR="008658E5" w:rsidRDefault="008658E5" w:rsidP="008658E5">
      <w:pPr>
        <w:numPr>
          <w:ilvl w:val="1"/>
          <w:numId w:val="1"/>
        </w:numPr>
        <w:tabs>
          <w:tab w:val="clear" w:pos="720"/>
          <w:tab w:val="left" w:pos="585"/>
          <w:tab w:val="num" w:pos="1125"/>
        </w:tabs>
        <w:spacing w:line="360" w:lineRule="auto"/>
        <w:ind w:left="558" w:right="-108" w:hanging="558"/>
        <w:jc w:val="both"/>
        <w:rPr>
          <w:b/>
        </w:rPr>
      </w:pPr>
      <w:r w:rsidRPr="00F41412">
        <w:rPr>
          <w:b/>
        </w:rPr>
        <w:t>Packing and Labeling:</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 xml:space="preserve">The standards after qualification shall be dispensed in clean fresh pre labeled amber color vials with the help of fresh butter paper in a cleaned area. </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Ensue that no other material is available in the surroundings prior to start the dispensing activity.</w:t>
      </w:r>
    </w:p>
    <w:p w:rsid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fresh vials shall be checked visually for cleanliness and further physically for absence of any extraneous matter by reverse tapping of the opened vials on a fresh and clean butter paper.</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Wear suitable PPE during preparation of standard vials.</w:t>
      </w:r>
    </w:p>
    <w:p w:rsid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For working standard about 2 gms of standard shall be packed in 15 vials. The vials from 1 to 12 are meant for monthly usage while the 13-15 vials were kept as stock vials. The working standards if requested by customers can be provided from the stock vials.</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Labels shall be prepared and pasted on standard vials from 1 to 12 as per format no.: QC0</w:t>
      </w:r>
      <w:r w:rsidR="00245B5D">
        <w:t>05-</w:t>
      </w:r>
      <w:r w:rsidRPr="00AF400F">
        <w:t>F</w:t>
      </w:r>
      <w:r w:rsidR="00245B5D">
        <w:t>M</w:t>
      </w:r>
      <w:r w:rsidRPr="00AF400F">
        <w:t>0</w:t>
      </w:r>
      <w:r w:rsidR="00245B5D">
        <w:t>37</w:t>
      </w:r>
      <w:r w:rsidRPr="00AF400F">
        <w:t>, while for stock vials as the format no.: QC</w:t>
      </w:r>
      <w:r w:rsidR="00245B5D">
        <w:t>005-FM038</w:t>
      </w:r>
      <w:r w:rsidRPr="00AF400F">
        <w:t>.</w:t>
      </w:r>
    </w:p>
    <w:p w:rsidR="008658E5" w:rsidRPr="00AF400F" w:rsidRDefault="008658E5" w:rsidP="008658E5">
      <w:pPr>
        <w:numPr>
          <w:ilvl w:val="1"/>
          <w:numId w:val="1"/>
        </w:numPr>
        <w:tabs>
          <w:tab w:val="clear" w:pos="720"/>
          <w:tab w:val="left" w:pos="585"/>
          <w:tab w:val="num" w:pos="1125"/>
        </w:tabs>
        <w:spacing w:line="360" w:lineRule="auto"/>
        <w:ind w:left="558" w:right="-108" w:hanging="558"/>
        <w:jc w:val="both"/>
        <w:rPr>
          <w:b/>
        </w:rPr>
      </w:pPr>
      <w:r w:rsidRPr="00AF400F">
        <w:rPr>
          <w:b/>
        </w:rPr>
        <w:t>Storage:</w:t>
      </w:r>
    </w:p>
    <w:p w:rsidR="008658E5" w:rsidRPr="00271FA3"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 xml:space="preserve">The labeled and packed standard vials shall be placed in plastic containers and stored in a </w:t>
      </w:r>
      <w:r>
        <w:t>d</w:t>
      </w:r>
      <w:r w:rsidRPr="00271FA3">
        <w:t>esiccators or refrigerator at 2 to 8ºC / freezer as per the prescribed storage conditions of corresponding products.</w:t>
      </w:r>
    </w:p>
    <w:p w:rsid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Validity period for working standards shall be one year from the effective date and the effective date shall be within one week from the date of completion of analysis.</w:t>
      </w:r>
    </w:p>
    <w:p w:rsidR="008658E5" w:rsidRPr="00AF400F" w:rsidRDefault="008658E5" w:rsidP="008658E5">
      <w:pPr>
        <w:numPr>
          <w:ilvl w:val="1"/>
          <w:numId w:val="1"/>
        </w:numPr>
        <w:tabs>
          <w:tab w:val="clear" w:pos="720"/>
          <w:tab w:val="left" w:pos="585"/>
          <w:tab w:val="num" w:pos="1125"/>
        </w:tabs>
        <w:spacing w:line="360" w:lineRule="auto"/>
        <w:ind w:left="558" w:right="-108" w:hanging="558"/>
        <w:jc w:val="both"/>
        <w:rPr>
          <w:b/>
        </w:rPr>
      </w:pPr>
      <w:r w:rsidRPr="00AF400F">
        <w:rPr>
          <w:b/>
        </w:rPr>
        <w:t xml:space="preserve">Distribution of standards: </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After the qualification pre defined monthly vial shall be issued for regular analysis. After the vial validity the vial should be disposed and shall be replaced with a new vial as per the validity dates labeled on the individual vial.</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issuance and disposal details shall be recor</w:t>
      </w:r>
      <w:r>
        <w:t xml:space="preserve">ded in the standard issue and </w:t>
      </w:r>
      <w:r w:rsidRPr="00AF400F">
        <w:t>disposal record of format no: QC</w:t>
      </w:r>
      <w:r w:rsidR="00245B5D">
        <w:t>005-</w:t>
      </w:r>
      <w:r w:rsidRPr="00AF400F">
        <w:t>F</w:t>
      </w:r>
      <w:r w:rsidR="00245B5D">
        <w:t>M079</w:t>
      </w:r>
      <w:r w:rsidRPr="00AF400F">
        <w:t xml:space="preserve"> </w:t>
      </w:r>
    </w:p>
    <w:p w:rsidR="008658E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In case of damage to an existing opened vial, 2 gms shall</w:t>
      </w:r>
      <w:r w:rsidR="00E31FA0">
        <w:t xml:space="preserve"> be issued from the stock vial, a</w:t>
      </w:r>
      <w:r w:rsidRPr="00AF400F">
        <w:t>nd the details shall be recorded in the standard issue and disposal record (</w:t>
      </w:r>
      <w:r w:rsidR="00245B5D" w:rsidRPr="00AF400F">
        <w:t>QC</w:t>
      </w:r>
      <w:r w:rsidR="00245B5D">
        <w:t>005-</w:t>
      </w:r>
      <w:r w:rsidR="00245B5D" w:rsidRPr="00AF400F">
        <w:t>F</w:t>
      </w:r>
      <w:r w:rsidR="00245B5D">
        <w:t>M079</w:t>
      </w:r>
      <w:r w:rsidRPr="00AF400F">
        <w:t>).</w:t>
      </w:r>
    </w:p>
    <w:p w:rsidR="008658E5" w:rsidRPr="00AF400F" w:rsidRDefault="008658E5" w:rsidP="008658E5">
      <w:pPr>
        <w:numPr>
          <w:ilvl w:val="1"/>
          <w:numId w:val="1"/>
        </w:numPr>
        <w:tabs>
          <w:tab w:val="clear" w:pos="720"/>
          <w:tab w:val="left" w:pos="585"/>
          <w:tab w:val="num" w:pos="1125"/>
        </w:tabs>
        <w:spacing w:line="360" w:lineRule="auto"/>
        <w:ind w:left="558" w:right="-108" w:hanging="558"/>
        <w:jc w:val="both"/>
        <w:rPr>
          <w:b/>
        </w:rPr>
      </w:pPr>
      <w:r w:rsidRPr="00AF400F">
        <w:rPr>
          <w:b/>
        </w:rPr>
        <w:t>Precautions while usage of standards:</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After taking out the standards from refrigerator wipe the outer surface of vial with tissue paper and the same shall be kept in a desiccators for about 10 minutes to attain room temperature before weighing to avoid any exposure to moisture.</w:t>
      </w:r>
    </w:p>
    <w:p w:rsidR="008658E5" w:rsidRPr="00DC6B83"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working standard vials shall be opened, closed and placed back to their designated place within minimum time to avoid exposure to the moisture.</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working standard vials shall be allowed to attain room temperature before weighing.</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If more than one standard need to be weighed, open only one standard vial at the time of use to avoid exposure and contamination risk.</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Complete the activity of one standard and close the vial properly before weighing the second standard.</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required quantity of standard material shall be dispensed carefully.</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 xml:space="preserve">The excess dispensed material should not be added back into the vial. </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stock of Reference standard / Working standard shall be in lock and key.</w:t>
      </w:r>
    </w:p>
    <w:p w:rsidR="008658E5" w:rsidRPr="00AF400F"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AF400F">
        <w:t>The storage of working standard shall be in line with the labeled storage conditions.</w:t>
      </w:r>
    </w:p>
    <w:p w:rsidR="008658E5" w:rsidRPr="00AF400F" w:rsidRDefault="008658E5" w:rsidP="008658E5">
      <w:pPr>
        <w:numPr>
          <w:ilvl w:val="1"/>
          <w:numId w:val="1"/>
        </w:numPr>
        <w:tabs>
          <w:tab w:val="clear" w:pos="720"/>
          <w:tab w:val="left" w:pos="585"/>
          <w:tab w:val="num" w:pos="1125"/>
        </w:tabs>
        <w:spacing w:line="360" w:lineRule="auto"/>
        <w:ind w:left="558" w:right="-108" w:hanging="558"/>
        <w:jc w:val="both"/>
        <w:rPr>
          <w:b/>
        </w:rPr>
      </w:pPr>
      <w:r w:rsidRPr="00AF400F">
        <w:rPr>
          <w:b/>
        </w:rPr>
        <w:t>GC standards (Standards required for GC analysis):</w:t>
      </w:r>
    </w:p>
    <w:p w:rsidR="008658E5" w:rsidRPr="0031201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312015">
        <w:t>Certified material procured from authentic sources like Sigma-Aldrich, Fluka, Merck etc shall be used as standards for GC analysis.</w:t>
      </w:r>
    </w:p>
    <w:p w:rsidR="008658E5" w:rsidRPr="00312015" w:rsidRDefault="008658E5" w:rsidP="008658E5">
      <w:pPr>
        <w:numPr>
          <w:ilvl w:val="2"/>
          <w:numId w:val="1"/>
        </w:numPr>
        <w:tabs>
          <w:tab w:val="clear" w:pos="2160"/>
          <w:tab w:val="num" w:pos="1305"/>
        </w:tabs>
        <w:autoSpaceDE w:val="0"/>
        <w:autoSpaceDN w:val="0"/>
        <w:adjustRightInd w:val="0"/>
        <w:spacing w:line="360" w:lineRule="auto"/>
        <w:ind w:left="1305" w:right="-108" w:hanging="765"/>
        <w:jc w:val="both"/>
      </w:pPr>
      <w:r w:rsidRPr="00312015">
        <w:t>Manufacturer’s certificate of analysis of the certified material shall be preserved and the potency/purity mentioned on the certificate shall be used for quantitative analysis.</w:t>
      </w:r>
    </w:p>
    <w:p w:rsidR="004F6097"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6C4ECC" w:rsidRPr="00862347" w:rsidRDefault="006C4ECC" w:rsidP="006C4ECC">
      <w:pPr>
        <w:numPr>
          <w:ilvl w:val="1"/>
          <w:numId w:val="1"/>
        </w:numPr>
        <w:tabs>
          <w:tab w:val="clear" w:pos="720"/>
          <w:tab w:val="left" w:pos="468"/>
          <w:tab w:val="left" w:pos="540"/>
          <w:tab w:val="num" w:pos="1125"/>
        </w:tabs>
        <w:spacing w:line="360" w:lineRule="auto"/>
        <w:ind w:left="468" w:right="-108" w:hanging="468"/>
        <w:jc w:val="both"/>
        <w:rPr>
          <w:szCs w:val="28"/>
        </w:rPr>
      </w:pPr>
      <w:r w:rsidRPr="00862347">
        <w:rPr>
          <w:szCs w:val="28"/>
        </w:rPr>
        <w:t>List of standards</w:t>
      </w:r>
      <w:r w:rsidRPr="00862347">
        <w:rPr>
          <w:szCs w:val="28"/>
        </w:rPr>
        <w:tab/>
      </w:r>
      <w:r w:rsidRPr="00862347">
        <w:rPr>
          <w:szCs w:val="28"/>
        </w:rPr>
        <w:tab/>
      </w:r>
      <w:r w:rsidRPr="00862347">
        <w:rPr>
          <w:szCs w:val="28"/>
        </w:rPr>
        <w:tab/>
      </w:r>
      <w:r w:rsidRPr="00862347">
        <w:rPr>
          <w:szCs w:val="28"/>
        </w:rPr>
        <w:tab/>
        <w:t>: QC0</w:t>
      </w:r>
      <w:r>
        <w:rPr>
          <w:szCs w:val="28"/>
        </w:rPr>
        <w:t>05-</w:t>
      </w:r>
      <w:r w:rsidRPr="00862347">
        <w:rPr>
          <w:szCs w:val="28"/>
        </w:rPr>
        <w:t>F</w:t>
      </w:r>
      <w:r>
        <w:rPr>
          <w:szCs w:val="28"/>
        </w:rPr>
        <w:t>M035</w:t>
      </w:r>
    </w:p>
    <w:p w:rsidR="00862347" w:rsidRPr="00862347" w:rsidRDefault="00E31FA0" w:rsidP="00862347">
      <w:pPr>
        <w:numPr>
          <w:ilvl w:val="1"/>
          <w:numId w:val="1"/>
        </w:numPr>
        <w:tabs>
          <w:tab w:val="clear" w:pos="720"/>
          <w:tab w:val="left" w:pos="468"/>
          <w:tab w:val="left" w:pos="540"/>
          <w:tab w:val="num" w:pos="1125"/>
        </w:tabs>
        <w:spacing w:line="360" w:lineRule="auto"/>
        <w:ind w:left="468" w:right="-108" w:hanging="468"/>
        <w:jc w:val="both"/>
        <w:rPr>
          <w:szCs w:val="28"/>
        </w:rPr>
      </w:pPr>
      <w:r w:rsidRPr="00862347">
        <w:rPr>
          <w:szCs w:val="28"/>
        </w:rPr>
        <w:t>C</w:t>
      </w:r>
      <w:r>
        <w:rPr>
          <w:szCs w:val="28"/>
        </w:rPr>
        <w:t>ertificate Of Analysis</w:t>
      </w:r>
      <w:r w:rsidRPr="00862347">
        <w:rPr>
          <w:szCs w:val="28"/>
        </w:rPr>
        <w:t xml:space="preserve"> </w:t>
      </w:r>
      <w:r w:rsidR="00862347" w:rsidRPr="00862347">
        <w:rPr>
          <w:szCs w:val="28"/>
        </w:rPr>
        <w:tab/>
      </w:r>
      <w:r w:rsidR="00862347" w:rsidRPr="00862347">
        <w:rPr>
          <w:szCs w:val="28"/>
        </w:rPr>
        <w:tab/>
      </w:r>
      <w:r w:rsidR="00862347" w:rsidRPr="00862347">
        <w:rPr>
          <w:szCs w:val="28"/>
        </w:rPr>
        <w:tab/>
        <w:t>: QC0</w:t>
      </w:r>
      <w:r w:rsidR="00B97F19">
        <w:rPr>
          <w:szCs w:val="28"/>
        </w:rPr>
        <w:t>05</w:t>
      </w:r>
      <w:r w:rsidR="00AC2F7E">
        <w:rPr>
          <w:szCs w:val="28"/>
        </w:rPr>
        <w:t>-</w:t>
      </w:r>
      <w:r w:rsidR="00862347" w:rsidRPr="00862347">
        <w:rPr>
          <w:szCs w:val="28"/>
        </w:rPr>
        <w:t>F</w:t>
      </w:r>
      <w:r w:rsidR="00B97F19">
        <w:rPr>
          <w:szCs w:val="28"/>
        </w:rPr>
        <w:t>M0</w:t>
      </w:r>
      <w:r w:rsidR="006C4ECC">
        <w:rPr>
          <w:szCs w:val="28"/>
        </w:rPr>
        <w:t>36</w:t>
      </w:r>
    </w:p>
    <w:p w:rsidR="00862347" w:rsidRPr="00862347" w:rsidRDefault="00E31FA0" w:rsidP="00862347">
      <w:pPr>
        <w:numPr>
          <w:ilvl w:val="1"/>
          <w:numId w:val="1"/>
        </w:numPr>
        <w:tabs>
          <w:tab w:val="clear" w:pos="720"/>
          <w:tab w:val="left" w:pos="468"/>
          <w:tab w:val="left" w:pos="540"/>
          <w:tab w:val="num" w:pos="1125"/>
        </w:tabs>
        <w:spacing w:line="360" w:lineRule="auto"/>
        <w:ind w:left="468" w:right="-108" w:hanging="468"/>
        <w:jc w:val="both"/>
        <w:rPr>
          <w:szCs w:val="28"/>
        </w:rPr>
      </w:pPr>
      <w:r>
        <w:rPr>
          <w:szCs w:val="28"/>
        </w:rPr>
        <w:t>S</w:t>
      </w:r>
      <w:r w:rsidR="00862347" w:rsidRPr="00862347">
        <w:rPr>
          <w:szCs w:val="28"/>
        </w:rPr>
        <w:t xml:space="preserve">tandard </w:t>
      </w:r>
      <w:r w:rsidR="00862347" w:rsidRPr="00862347">
        <w:rPr>
          <w:szCs w:val="28"/>
        </w:rPr>
        <w:tab/>
      </w:r>
      <w:r w:rsidR="00862347" w:rsidRPr="00862347">
        <w:rPr>
          <w:szCs w:val="28"/>
        </w:rPr>
        <w:tab/>
      </w:r>
      <w:r>
        <w:rPr>
          <w:szCs w:val="28"/>
        </w:rPr>
        <w:tab/>
      </w:r>
      <w:r>
        <w:rPr>
          <w:szCs w:val="28"/>
        </w:rPr>
        <w:tab/>
      </w:r>
      <w:r>
        <w:rPr>
          <w:szCs w:val="28"/>
        </w:rPr>
        <w:tab/>
      </w:r>
      <w:r w:rsidR="00862347" w:rsidRPr="00862347">
        <w:rPr>
          <w:szCs w:val="28"/>
        </w:rPr>
        <w:t>: QC0</w:t>
      </w:r>
      <w:r w:rsidR="00B97F19">
        <w:rPr>
          <w:szCs w:val="28"/>
        </w:rPr>
        <w:t>05</w:t>
      </w:r>
      <w:r w:rsidR="00AC2F7E">
        <w:rPr>
          <w:szCs w:val="28"/>
        </w:rPr>
        <w:t>-</w:t>
      </w:r>
      <w:r w:rsidR="00862347" w:rsidRPr="00862347">
        <w:rPr>
          <w:szCs w:val="28"/>
        </w:rPr>
        <w:t>F</w:t>
      </w:r>
      <w:r w:rsidR="00B97F19">
        <w:rPr>
          <w:szCs w:val="28"/>
        </w:rPr>
        <w:t>M0</w:t>
      </w:r>
      <w:r w:rsidR="006C4ECC">
        <w:rPr>
          <w:szCs w:val="28"/>
        </w:rPr>
        <w:t>37</w:t>
      </w:r>
    </w:p>
    <w:p w:rsidR="00862347" w:rsidRPr="00862347" w:rsidRDefault="00E31FA0" w:rsidP="00862347">
      <w:pPr>
        <w:numPr>
          <w:ilvl w:val="1"/>
          <w:numId w:val="1"/>
        </w:numPr>
        <w:tabs>
          <w:tab w:val="clear" w:pos="720"/>
          <w:tab w:val="left" w:pos="468"/>
          <w:tab w:val="left" w:pos="540"/>
          <w:tab w:val="num" w:pos="1125"/>
        </w:tabs>
        <w:spacing w:line="360" w:lineRule="auto"/>
        <w:ind w:left="468" w:right="-108" w:hanging="468"/>
        <w:jc w:val="both"/>
        <w:rPr>
          <w:szCs w:val="28"/>
        </w:rPr>
      </w:pPr>
      <w:r>
        <w:rPr>
          <w:szCs w:val="28"/>
        </w:rPr>
        <w:t>S</w:t>
      </w:r>
      <w:r w:rsidR="00862347" w:rsidRPr="00862347">
        <w:rPr>
          <w:szCs w:val="28"/>
        </w:rPr>
        <w:t>tandard</w:t>
      </w:r>
      <w:r>
        <w:rPr>
          <w:szCs w:val="28"/>
        </w:rPr>
        <w:t xml:space="preserve"> label for stack</w:t>
      </w:r>
      <w:r>
        <w:rPr>
          <w:szCs w:val="28"/>
        </w:rPr>
        <w:tab/>
      </w:r>
      <w:r w:rsidR="00862347" w:rsidRPr="00862347">
        <w:rPr>
          <w:szCs w:val="28"/>
        </w:rPr>
        <w:tab/>
      </w:r>
      <w:r w:rsidR="00862347" w:rsidRPr="00862347">
        <w:rPr>
          <w:szCs w:val="28"/>
        </w:rPr>
        <w:tab/>
        <w:t>: QC0</w:t>
      </w:r>
      <w:r w:rsidR="00B97F19">
        <w:rPr>
          <w:szCs w:val="28"/>
        </w:rPr>
        <w:t>05</w:t>
      </w:r>
      <w:r w:rsidR="00AC2F7E">
        <w:rPr>
          <w:szCs w:val="28"/>
        </w:rPr>
        <w:t>-</w:t>
      </w:r>
      <w:r w:rsidR="00862347" w:rsidRPr="00862347">
        <w:rPr>
          <w:szCs w:val="28"/>
        </w:rPr>
        <w:t>F</w:t>
      </w:r>
      <w:r w:rsidR="00B97F19">
        <w:rPr>
          <w:szCs w:val="28"/>
        </w:rPr>
        <w:t>M0</w:t>
      </w:r>
      <w:r w:rsidR="006C4ECC">
        <w:rPr>
          <w:szCs w:val="28"/>
        </w:rPr>
        <w:t>38</w:t>
      </w:r>
    </w:p>
    <w:p w:rsidR="006C4ECC" w:rsidRPr="00862347" w:rsidRDefault="006C4ECC" w:rsidP="006C4ECC">
      <w:pPr>
        <w:numPr>
          <w:ilvl w:val="1"/>
          <w:numId w:val="1"/>
        </w:numPr>
        <w:tabs>
          <w:tab w:val="clear" w:pos="720"/>
          <w:tab w:val="left" w:pos="468"/>
          <w:tab w:val="left" w:pos="540"/>
          <w:tab w:val="num" w:pos="1125"/>
        </w:tabs>
        <w:spacing w:line="360" w:lineRule="auto"/>
        <w:ind w:left="468" w:right="-108" w:hanging="468"/>
        <w:jc w:val="both"/>
        <w:rPr>
          <w:szCs w:val="28"/>
        </w:rPr>
      </w:pPr>
      <w:r w:rsidRPr="00862347">
        <w:rPr>
          <w:szCs w:val="28"/>
        </w:rPr>
        <w:t xml:space="preserve">Standard </w:t>
      </w:r>
      <w:r w:rsidR="00E31FA0">
        <w:rPr>
          <w:szCs w:val="28"/>
        </w:rPr>
        <w:t xml:space="preserve">Qualification </w:t>
      </w:r>
      <w:r w:rsidRPr="00862347">
        <w:rPr>
          <w:szCs w:val="28"/>
        </w:rPr>
        <w:t xml:space="preserve">Protocol         </w:t>
      </w:r>
      <w:r w:rsidR="00E31FA0">
        <w:rPr>
          <w:szCs w:val="28"/>
        </w:rPr>
        <w:tab/>
      </w:r>
      <w:r w:rsidRPr="00862347">
        <w:rPr>
          <w:szCs w:val="28"/>
        </w:rPr>
        <w:t>: QC0</w:t>
      </w:r>
      <w:r>
        <w:rPr>
          <w:szCs w:val="28"/>
        </w:rPr>
        <w:t>05-</w:t>
      </w:r>
      <w:r w:rsidRPr="00862347">
        <w:rPr>
          <w:szCs w:val="28"/>
        </w:rPr>
        <w:t>F</w:t>
      </w:r>
      <w:r>
        <w:rPr>
          <w:szCs w:val="28"/>
        </w:rPr>
        <w:t>M078</w:t>
      </w:r>
    </w:p>
    <w:p w:rsidR="00862347" w:rsidRDefault="00862347" w:rsidP="00862347">
      <w:pPr>
        <w:numPr>
          <w:ilvl w:val="1"/>
          <w:numId w:val="1"/>
        </w:numPr>
        <w:tabs>
          <w:tab w:val="clear" w:pos="720"/>
          <w:tab w:val="left" w:pos="468"/>
          <w:tab w:val="left" w:pos="540"/>
          <w:tab w:val="num" w:pos="1125"/>
        </w:tabs>
        <w:spacing w:line="360" w:lineRule="auto"/>
        <w:ind w:left="468" w:right="-108" w:hanging="468"/>
        <w:jc w:val="both"/>
        <w:rPr>
          <w:szCs w:val="28"/>
        </w:rPr>
      </w:pPr>
      <w:r w:rsidRPr="00862347">
        <w:rPr>
          <w:szCs w:val="28"/>
        </w:rPr>
        <w:t>Standard issue and disposal record</w:t>
      </w:r>
      <w:r w:rsidRPr="00862347">
        <w:rPr>
          <w:szCs w:val="28"/>
        </w:rPr>
        <w:tab/>
        <w:t>: QC0</w:t>
      </w:r>
      <w:r w:rsidR="00B97F19">
        <w:rPr>
          <w:szCs w:val="28"/>
        </w:rPr>
        <w:t>05</w:t>
      </w:r>
      <w:r w:rsidR="00AC2F7E">
        <w:rPr>
          <w:szCs w:val="28"/>
        </w:rPr>
        <w:t>-</w:t>
      </w:r>
      <w:r w:rsidRPr="00862347">
        <w:rPr>
          <w:szCs w:val="28"/>
        </w:rPr>
        <w:t>F</w:t>
      </w:r>
      <w:r w:rsidR="00B97F19">
        <w:rPr>
          <w:szCs w:val="28"/>
        </w:rPr>
        <w:t>M0</w:t>
      </w:r>
      <w:r w:rsidR="006C4ECC">
        <w:rPr>
          <w:szCs w:val="28"/>
        </w:rPr>
        <w:t>79</w:t>
      </w: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Default="002719C6" w:rsidP="002719C6">
      <w:pPr>
        <w:tabs>
          <w:tab w:val="left" w:pos="468"/>
          <w:tab w:val="left" w:pos="540"/>
        </w:tabs>
        <w:spacing w:line="360" w:lineRule="auto"/>
        <w:ind w:right="-108"/>
        <w:jc w:val="both"/>
        <w:rPr>
          <w:szCs w:val="28"/>
        </w:rPr>
      </w:pPr>
    </w:p>
    <w:p w:rsidR="002719C6" w:rsidRPr="00862347" w:rsidRDefault="002719C6" w:rsidP="002719C6">
      <w:pPr>
        <w:tabs>
          <w:tab w:val="left" w:pos="468"/>
          <w:tab w:val="left" w:pos="540"/>
        </w:tabs>
        <w:spacing w:line="360" w:lineRule="auto"/>
        <w:ind w:right="-108"/>
        <w:jc w:val="both"/>
        <w:rPr>
          <w:szCs w:val="28"/>
        </w:rPr>
      </w:pPr>
    </w:p>
    <w:p w:rsidR="00AE14EB"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tblPr>
      <w:tblGrid>
        <w:gridCol w:w="1179"/>
        <w:gridCol w:w="1460"/>
        <w:gridCol w:w="6244"/>
        <w:gridCol w:w="1269"/>
      </w:tblGrid>
      <w:tr w:rsidR="00984FC2" w:rsidRPr="00B00137" w:rsidTr="00532900">
        <w:trPr>
          <w:trHeight w:val="374"/>
          <w:tblHeader/>
        </w:trPr>
        <w:tc>
          <w:tcPr>
            <w:tcW w:w="1179"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269"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F25970" w:rsidRPr="00B00137" w:rsidTr="00F25970">
        <w:trPr>
          <w:trHeight w:val="530"/>
        </w:trPr>
        <w:tc>
          <w:tcPr>
            <w:tcW w:w="1179" w:type="dxa"/>
            <w:vAlign w:val="center"/>
          </w:tcPr>
          <w:p w:rsidR="00F25970" w:rsidRPr="00B00137" w:rsidRDefault="00F25970" w:rsidP="00F25970">
            <w:pPr>
              <w:jc w:val="center"/>
              <w:rPr>
                <w:color w:val="000000" w:themeColor="text1"/>
              </w:rPr>
            </w:pPr>
            <w:r>
              <w:rPr>
                <w:color w:val="000000" w:themeColor="text1"/>
              </w:rPr>
              <w:t>00</w:t>
            </w:r>
          </w:p>
        </w:tc>
        <w:tc>
          <w:tcPr>
            <w:tcW w:w="1460" w:type="dxa"/>
            <w:vAlign w:val="center"/>
          </w:tcPr>
          <w:p w:rsidR="00F25970" w:rsidRPr="00272A94" w:rsidRDefault="00F25970" w:rsidP="00F25970">
            <w:pPr>
              <w:jc w:val="center"/>
            </w:pPr>
            <w:r>
              <w:t>01.06.2007</w:t>
            </w:r>
          </w:p>
        </w:tc>
        <w:tc>
          <w:tcPr>
            <w:tcW w:w="6244" w:type="dxa"/>
            <w:vAlign w:val="center"/>
          </w:tcPr>
          <w:p w:rsidR="00F25970" w:rsidRPr="007E4AA4" w:rsidRDefault="00F25970" w:rsidP="00F25970">
            <w:pPr>
              <w:pStyle w:val="BodyText2"/>
              <w:spacing w:after="0" w:line="240" w:lineRule="auto"/>
              <w:rPr>
                <w:bCs/>
                <w:iCs/>
              </w:rPr>
            </w:pPr>
            <w:r w:rsidRPr="007E4AA4">
              <w:rPr>
                <w:bCs/>
                <w:iCs/>
              </w:rPr>
              <w:t xml:space="preserve">New SOP </w:t>
            </w:r>
            <w:r>
              <w:rPr>
                <w:bCs/>
                <w:iCs/>
              </w:rPr>
              <w:t>“working standard preparation’ analysis and labeling working standard</w:t>
            </w:r>
          </w:p>
        </w:tc>
        <w:tc>
          <w:tcPr>
            <w:tcW w:w="1269" w:type="dxa"/>
            <w:vAlign w:val="center"/>
          </w:tcPr>
          <w:p w:rsidR="00F25970" w:rsidRPr="007D031F" w:rsidRDefault="00F25970" w:rsidP="002A3131">
            <w:pPr>
              <w:jc w:val="center"/>
              <w:rPr>
                <w:bCs/>
                <w:color w:val="000000" w:themeColor="text1"/>
              </w:rPr>
            </w:pPr>
            <w:r>
              <w:rPr>
                <w:bCs/>
                <w:color w:val="000000" w:themeColor="text1"/>
              </w:rPr>
              <w:t>--</w:t>
            </w:r>
          </w:p>
        </w:tc>
      </w:tr>
      <w:tr w:rsidR="00F25970" w:rsidRPr="00B00137" w:rsidTr="00F25970">
        <w:trPr>
          <w:trHeight w:val="374"/>
        </w:trPr>
        <w:tc>
          <w:tcPr>
            <w:tcW w:w="1179" w:type="dxa"/>
            <w:vAlign w:val="center"/>
          </w:tcPr>
          <w:p w:rsidR="00F25970" w:rsidRPr="00B00137" w:rsidRDefault="00F25970" w:rsidP="00F25970">
            <w:pPr>
              <w:jc w:val="center"/>
              <w:rPr>
                <w:color w:val="000000" w:themeColor="text1"/>
              </w:rPr>
            </w:pPr>
            <w:r>
              <w:rPr>
                <w:color w:val="000000" w:themeColor="text1"/>
              </w:rPr>
              <w:t>01</w:t>
            </w:r>
          </w:p>
        </w:tc>
        <w:tc>
          <w:tcPr>
            <w:tcW w:w="1460" w:type="dxa"/>
            <w:vAlign w:val="center"/>
          </w:tcPr>
          <w:p w:rsidR="00F25970" w:rsidRPr="007E4AA4" w:rsidRDefault="00F25970" w:rsidP="00F25970">
            <w:pPr>
              <w:jc w:val="center"/>
            </w:pPr>
            <w:r>
              <w:t>01.08.2009</w:t>
            </w:r>
          </w:p>
        </w:tc>
        <w:tc>
          <w:tcPr>
            <w:tcW w:w="6244" w:type="dxa"/>
            <w:vAlign w:val="center"/>
          </w:tcPr>
          <w:p w:rsidR="00F25970" w:rsidRPr="007E4AA4" w:rsidRDefault="00F25970" w:rsidP="00F25970">
            <w:pPr>
              <w:pStyle w:val="BodyText2"/>
              <w:spacing w:after="0" w:line="276" w:lineRule="auto"/>
              <w:rPr>
                <w:color w:val="000000"/>
              </w:rPr>
            </w:pPr>
            <w:r>
              <w:rPr>
                <w:color w:val="000000"/>
              </w:rPr>
              <w:t>In this SOP formats change with more clear and clarity</w:t>
            </w:r>
          </w:p>
        </w:tc>
        <w:tc>
          <w:tcPr>
            <w:tcW w:w="1269" w:type="dxa"/>
            <w:vAlign w:val="center"/>
          </w:tcPr>
          <w:p w:rsidR="00F25970" w:rsidRPr="007D031F" w:rsidRDefault="00F25970" w:rsidP="002A3131">
            <w:pPr>
              <w:jc w:val="center"/>
              <w:rPr>
                <w:bCs/>
                <w:color w:val="000000" w:themeColor="text1"/>
              </w:rPr>
            </w:pPr>
            <w:r>
              <w:rPr>
                <w:bCs/>
                <w:color w:val="000000" w:themeColor="text1"/>
              </w:rPr>
              <w:t>--</w:t>
            </w:r>
          </w:p>
        </w:tc>
      </w:tr>
      <w:tr w:rsidR="00455957" w:rsidRPr="00B00137" w:rsidTr="00F25970">
        <w:trPr>
          <w:trHeight w:val="374"/>
        </w:trPr>
        <w:tc>
          <w:tcPr>
            <w:tcW w:w="1179" w:type="dxa"/>
            <w:vAlign w:val="center"/>
          </w:tcPr>
          <w:p w:rsidR="00455957" w:rsidRPr="00B00137" w:rsidRDefault="00F25970" w:rsidP="00F25970">
            <w:pPr>
              <w:jc w:val="center"/>
              <w:rPr>
                <w:color w:val="000000" w:themeColor="text1"/>
              </w:rPr>
            </w:pPr>
            <w:r>
              <w:rPr>
                <w:color w:val="000000" w:themeColor="text1"/>
              </w:rPr>
              <w:t>02</w:t>
            </w:r>
          </w:p>
        </w:tc>
        <w:tc>
          <w:tcPr>
            <w:tcW w:w="1460" w:type="dxa"/>
            <w:vAlign w:val="center"/>
          </w:tcPr>
          <w:p w:rsidR="00455957" w:rsidRPr="007E4AA4" w:rsidRDefault="00F25970" w:rsidP="00F25970">
            <w:pPr>
              <w:jc w:val="center"/>
            </w:pPr>
            <w:r>
              <w:t>01.10.2010</w:t>
            </w:r>
          </w:p>
        </w:tc>
        <w:tc>
          <w:tcPr>
            <w:tcW w:w="6244" w:type="dxa"/>
            <w:vAlign w:val="center"/>
          </w:tcPr>
          <w:p w:rsidR="00455957" w:rsidRPr="00826512" w:rsidRDefault="00F25970" w:rsidP="00F25970">
            <w:pPr>
              <w:pStyle w:val="BodyText2"/>
              <w:spacing w:after="0" w:line="276" w:lineRule="auto"/>
              <w:rPr>
                <w:bCs/>
                <w:iCs/>
              </w:rPr>
            </w:pPr>
            <w:r>
              <w:rPr>
                <w:bCs/>
                <w:iCs/>
              </w:rPr>
              <w:t>Working standards storage change one to two bottles</w:t>
            </w:r>
          </w:p>
        </w:tc>
        <w:tc>
          <w:tcPr>
            <w:tcW w:w="1269" w:type="dxa"/>
            <w:vAlign w:val="center"/>
          </w:tcPr>
          <w:p w:rsidR="00455957" w:rsidRPr="007D031F" w:rsidRDefault="00F25970" w:rsidP="00846E63">
            <w:pPr>
              <w:jc w:val="center"/>
              <w:rPr>
                <w:bCs/>
                <w:color w:val="000000" w:themeColor="text1"/>
              </w:rPr>
            </w:pPr>
            <w:r>
              <w:rPr>
                <w:bCs/>
                <w:color w:val="000000" w:themeColor="text1"/>
              </w:rPr>
              <w:t>--</w:t>
            </w:r>
          </w:p>
        </w:tc>
      </w:tr>
      <w:tr w:rsidR="00F25970" w:rsidRPr="00B00137" w:rsidTr="00F25970">
        <w:trPr>
          <w:trHeight w:val="374"/>
        </w:trPr>
        <w:tc>
          <w:tcPr>
            <w:tcW w:w="1179" w:type="dxa"/>
            <w:vAlign w:val="center"/>
          </w:tcPr>
          <w:p w:rsidR="00F25970" w:rsidRPr="00B00137" w:rsidRDefault="00F25970" w:rsidP="00F25970">
            <w:pPr>
              <w:jc w:val="center"/>
              <w:rPr>
                <w:color w:val="000000" w:themeColor="text1"/>
              </w:rPr>
            </w:pPr>
            <w:r>
              <w:rPr>
                <w:color w:val="000000" w:themeColor="text1"/>
              </w:rPr>
              <w:t>03</w:t>
            </w:r>
          </w:p>
        </w:tc>
        <w:tc>
          <w:tcPr>
            <w:tcW w:w="1460" w:type="dxa"/>
            <w:vAlign w:val="center"/>
          </w:tcPr>
          <w:p w:rsidR="00F25970" w:rsidRPr="007E4AA4" w:rsidRDefault="00F25970" w:rsidP="00F25970">
            <w:pPr>
              <w:jc w:val="center"/>
            </w:pPr>
            <w:r>
              <w:t>01.03.2014</w:t>
            </w:r>
          </w:p>
        </w:tc>
        <w:tc>
          <w:tcPr>
            <w:tcW w:w="6244" w:type="dxa"/>
            <w:vAlign w:val="center"/>
          </w:tcPr>
          <w:p w:rsidR="00F25970" w:rsidRDefault="00F25970" w:rsidP="00F25970">
            <w:pPr>
              <w:pStyle w:val="BodyText2"/>
              <w:numPr>
                <w:ilvl w:val="0"/>
                <w:numId w:val="4"/>
              </w:numPr>
              <w:spacing w:after="0" w:line="276" w:lineRule="auto"/>
              <w:ind w:left="360"/>
              <w:rPr>
                <w:bCs/>
                <w:iCs/>
              </w:rPr>
            </w:pPr>
            <w:r>
              <w:rPr>
                <w:bCs/>
                <w:iCs/>
              </w:rPr>
              <w:t>Formats are the part of SOP. So prepared separately.</w:t>
            </w:r>
          </w:p>
          <w:p w:rsidR="00F25970" w:rsidRDefault="00F25970" w:rsidP="00F25970">
            <w:pPr>
              <w:pStyle w:val="BodyText2"/>
              <w:numPr>
                <w:ilvl w:val="0"/>
                <w:numId w:val="4"/>
              </w:numPr>
              <w:spacing w:after="0" w:line="276" w:lineRule="auto"/>
              <w:ind w:left="360"/>
              <w:rPr>
                <w:bCs/>
                <w:iCs/>
              </w:rPr>
            </w:pPr>
            <w:r>
              <w:rPr>
                <w:bCs/>
                <w:iCs/>
              </w:rPr>
              <w:t>Incorporate TLC standards preparation</w:t>
            </w:r>
          </w:p>
        </w:tc>
        <w:tc>
          <w:tcPr>
            <w:tcW w:w="1269" w:type="dxa"/>
            <w:vAlign w:val="center"/>
          </w:tcPr>
          <w:p w:rsidR="00F25970" w:rsidRPr="007D031F" w:rsidRDefault="00374D27" w:rsidP="00846E63">
            <w:pPr>
              <w:jc w:val="center"/>
              <w:rPr>
                <w:bCs/>
                <w:color w:val="000000" w:themeColor="text1"/>
              </w:rPr>
            </w:pPr>
            <w:r>
              <w:rPr>
                <w:bCs/>
                <w:color w:val="000000" w:themeColor="text1"/>
              </w:rPr>
              <w:t>--</w:t>
            </w:r>
          </w:p>
        </w:tc>
      </w:tr>
      <w:tr w:rsidR="00F25970" w:rsidRPr="00B00137" w:rsidTr="00F25970">
        <w:trPr>
          <w:trHeight w:val="374"/>
        </w:trPr>
        <w:tc>
          <w:tcPr>
            <w:tcW w:w="1179" w:type="dxa"/>
            <w:vAlign w:val="center"/>
          </w:tcPr>
          <w:p w:rsidR="00F25970" w:rsidRDefault="00F25970" w:rsidP="00F25970">
            <w:pPr>
              <w:jc w:val="center"/>
              <w:rPr>
                <w:color w:val="000000" w:themeColor="text1"/>
              </w:rPr>
            </w:pPr>
            <w:r>
              <w:rPr>
                <w:color w:val="000000" w:themeColor="text1"/>
              </w:rPr>
              <w:t>04</w:t>
            </w:r>
          </w:p>
        </w:tc>
        <w:tc>
          <w:tcPr>
            <w:tcW w:w="1460" w:type="dxa"/>
            <w:vAlign w:val="center"/>
          </w:tcPr>
          <w:p w:rsidR="00F25970" w:rsidRPr="007E4AA4" w:rsidRDefault="00F25970" w:rsidP="00F25970">
            <w:pPr>
              <w:jc w:val="center"/>
            </w:pPr>
            <w:r>
              <w:t>01.01.2017</w:t>
            </w:r>
          </w:p>
        </w:tc>
        <w:tc>
          <w:tcPr>
            <w:tcW w:w="6244" w:type="dxa"/>
            <w:vAlign w:val="center"/>
          </w:tcPr>
          <w:p w:rsidR="00F25970" w:rsidRDefault="00E31FA0" w:rsidP="002C286B">
            <w:pPr>
              <w:pStyle w:val="BodyText2"/>
              <w:numPr>
                <w:ilvl w:val="0"/>
                <w:numId w:val="5"/>
              </w:numPr>
              <w:spacing w:after="0" w:line="276" w:lineRule="auto"/>
              <w:ind w:left="360"/>
              <w:rPr>
                <w:bCs/>
                <w:iCs/>
              </w:rPr>
            </w:pPr>
            <w:r>
              <w:rPr>
                <w:bCs/>
                <w:iCs/>
              </w:rPr>
              <w:t>SOP format changed make in line with SOP-QA-001-04.</w:t>
            </w:r>
          </w:p>
          <w:p w:rsidR="00374D27" w:rsidRDefault="00E31FA0" w:rsidP="002C286B">
            <w:pPr>
              <w:pStyle w:val="BodyText2"/>
              <w:numPr>
                <w:ilvl w:val="0"/>
                <w:numId w:val="5"/>
              </w:numPr>
              <w:spacing w:after="0" w:line="276" w:lineRule="auto"/>
              <w:ind w:left="360"/>
              <w:rPr>
                <w:bCs/>
                <w:iCs/>
              </w:rPr>
            </w:pPr>
            <w:r>
              <w:rPr>
                <w:bCs/>
                <w:iCs/>
              </w:rPr>
              <w:t>Standard label contents were modified.</w:t>
            </w:r>
          </w:p>
          <w:p w:rsidR="00E31FA0" w:rsidRDefault="00E31FA0" w:rsidP="002C286B">
            <w:pPr>
              <w:pStyle w:val="BodyText2"/>
              <w:numPr>
                <w:ilvl w:val="0"/>
                <w:numId w:val="5"/>
              </w:numPr>
              <w:spacing w:after="0" w:line="276" w:lineRule="auto"/>
              <w:ind w:left="360"/>
              <w:rPr>
                <w:bCs/>
                <w:iCs/>
              </w:rPr>
            </w:pPr>
            <w:r>
              <w:rPr>
                <w:bCs/>
                <w:iCs/>
              </w:rPr>
              <w:t>Standard label for stock included</w:t>
            </w:r>
          </w:p>
          <w:p w:rsidR="00E31FA0" w:rsidRDefault="00E31FA0" w:rsidP="002C286B">
            <w:pPr>
              <w:pStyle w:val="BodyText2"/>
              <w:numPr>
                <w:ilvl w:val="0"/>
                <w:numId w:val="5"/>
              </w:numPr>
              <w:spacing w:after="0" w:line="276" w:lineRule="auto"/>
              <w:ind w:left="360"/>
              <w:rPr>
                <w:bCs/>
                <w:iCs/>
              </w:rPr>
            </w:pPr>
            <w:r>
              <w:rPr>
                <w:bCs/>
                <w:iCs/>
              </w:rPr>
              <w:t>Altogether procedure has been rephrased for better clarity</w:t>
            </w:r>
            <w:r w:rsidR="003A4C37">
              <w:rPr>
                <w:bCs/>
                <w:iCs/>
              </w:rPr>
              <w:t>.</w:t>
            </w:r>
          </w:p>
        </w:tc>
        <w:tc>
          <w:tcPr>
            <w:tcW w:w="1269" w:type="dxa"/>
            <w:vAlign w:val="center"/>
          </w:tcPr>
          <w:p w:rsidR="00F25970" w:rsidRPr="007D031F" w:rsidRDefault="00E31FA0" w:rsidP="00846E63">
            <w:pPr>
              <w:jc w:val="center"/>
              <w:rPr>
                <w:bCs/>
                <w:color w:val="000000" w:themeColor="text1"/>
              </w:rPr>
            </w:pPr>
            <w:r>
              <w:rPr>
                <w:bCs/>
                <w:color w:val="000000" w:themeColor="text1"/>
              </w:rPr>
              <w:t>QC-CRF-025/16</w:t>
            </w:r>
          </w:p>
        </w:tc>
      </w:tr>
      <w:tr w:rsidR="002719C6" w:rsidRPr="00B00137" w:rsidTr="00F25970">
        <w:trPr>
          <w:trHeight w:val="374"/>
        </w:trPr>
        <w:tc>
          <w:tcPr>
            <w:tcW w:w="1179" w:type="dxa"/>
            <w:vAlign w:val="center"/>
          </w:tcPr>
          <w:p w:rsidR="002719C6" w:rsidRDefault="002719C6" w:rsidP="00F25970">
            <w:pPr>
              <w:jc w:val="center"/>
              <w:rPr>
                <w:color w:val="000000" w:themeColor="text1"/>
              </w:rPr>
            </w:pPr>
            <w:r>
              <w:rPr>
                <w:color w:val="000000" w:themeColor="text1"/>
              </w:rPr>
              <w:t>05</w:t>
            </w:r>
          </w:p>
        </w:tc>
        <w:tc>
          <w:tcPr>
            <w:tcW w:w="1460" w:type="dxa"/>
            <w:vAlign w:val="center"/>
          </w:tcPr>
          <w:p w:rsidR="002719C6" w:rsidRDefault="002719C6" w:rsidP="00F25970">
            <w:pPr>
              <w:jc w:val="center"/>
            </w:pPr>
          </w:p>
        </w:tc>
        <w:tc>
          <w:tcPr>
            <w:tcW w:w="6244" w:type="dxa"/>
            <w:vAlign w:val="center"/>
          </w:tcPr>
          <w:p w:rsidR="002719C6" w:rsidRDefault="002719C6" w:rsidP="00144AD3">
            <w:pPr>
              <w:pStyle w:val="BodyText2"/>
              <w:spacing w:after="0" w:line="276" w:lineRule="auto"/>
              <w:ind w:left="360"/>
              <w:rPr>
                <w:bCs/>
                <w:iCs/>
              </w:rPr>
            </w:pPr>
          </w:p>
        </w:tc>
        <w:tc>
          <w:tcPr>
            <w:tcW w:w="1269" w:type="dxa"/>
            <w:vAlign w:val="center"/>
          </w:tcPr>
          <w:p w:rsidR="002719C6" w:rsidRDefault="002719C6" w:rsidP="00846E63">
            <w:pPr>
              <w:jc w:val="center"/>
              <w:rPr>
                <w:bCs/>
                <w:color w:val="000000" w:themeColor="text1"/>
              </w:rPr>
            </w:pPr>
          </w:p>
        </w:tc>
      </w:tr>
    </w:tbl>
    <w:p w:rsidR="009D6DB8" w:rsidRPr="00532900" w:rsidRDefault="009D6DB8" w:rsidP="00532900">
      <w:pPr>
        <w:rPr>
          <w:color w:val="000000" w:themeColor="text1"/>
          <w:sz w:val="10"/>
        </w:rPr>
      </w:pPr>
    </w:p>
    <w:sectPr w:rsidR="009D6DB8" w:rsidRPr="00532900" w:rsidSect="00F12C2F">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008"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EE7" w:rsidRDefault="00FD3EE7">
      <w:r>
        <w:separator/>
      </w:r>
    </w:p>
  </w:endnote>
  <w:endnote w:type="continuationSeparator" w:id="1">
    <w:p w:rsidR="00FD3EE7" w:rsidRDefault="00FD3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1D5" w:rsidRDefault="002321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784DA4" w:rsidP="00E752F4">
          <w:pPr>
            <w:tabs>
              <w:tab w:val="center" w:pos="4320"/>
              <w:tab w:val="right" w:pos="8640"/>
            </w:tabs>
            <w:jc w:val="center"/>
          </w:pPr>
          <w:r>
            <w:t>A.Navya</w:t>
          </w:r>
        </w:p>
      </w:tc>
      <w:tc>
        <w:tcPr>
          <w:tcW w:w="2753" w:type="dxa"/>
          <w:vAlign w:val="center"/>
        </w:tcPr>
        <w:p w:rsidR="00532900" w:rsidRPr="0029058A" w:rsidRDefault="00784DA4" w:rsidP="00712548">
          <w:pPr>
            <w:jc w:val="center"/>
          </w:pPr>
          <w:r>
            <w:t>S.Prasad</w:t>
          </w:r>
        </w:p>
      </w:tc>
      <w:tc>
        <w:tcPr>
          <w:tcW w:w="2874" w:type="dxa"/>
          <w:vAlign w:val="center"/>
        </w:tcPr>
        <w:p w:rsidR="00532900" w:rsidRPr="0029058A" w:rsidRDefault="009E5BE5" w:rsidP="006E21D7">
          <w:pPr>
            <w:jc w:val="center"/>
          </w:pPr>
          <w:r>
            <w:t>Ch.Mahendar R</w:t>
          </w:r>
          <w:r w:rsidR="00DD6DE8">
            <w:t>eddy</w:t>
          </w:r>
        </w:p>
      </w:tc>
    </w:tr>
    <w:tr w:rsidR="00B32270" w:rsidRPr="00E90738" w:rsidTr="0004260C">
      <w:trPr>
        <w:trHeight w:val="374"/>
      </w:trPr>
      <w:tc>
        <w:tcPr>
          <w:tcW w:w="1873" w:type="dxa"/>
          <w:vAlign w:val="center"/>
        </w:tcPr>
        <w:p w:rsidR="00B32270" w:rsidRPr="0029058A" w:rsidRDefault="00B32270" w:rsidP="006E21D7">
          <w:pPr>
            <w:jc w:val="center"/>
          </w:pPr>
          <w:r w:rsidRPr="0029058A">
            <w:t>Department</w:t>
          </w:r>
        </w:p>
      </w:tc>
      <w:tc>
        <w:tcPr>
          <w:tcW w:w="2652" w:type="dxa"/>
          <w:vAlign w:val="center"/>
        </w:tcPr>
        <w:p w:rsidR="00B32270" w:rsidRPr="0029058A" w:rsidRDefault="00B32270" w:rsidP="00363618">
          <w:pPr>
            <w:jc w:val="center"/>
          </w:pPr>
          <w:r>
            <w:t xml:space="preserve">Quality Control </w:t>
          </w:r>
        </w:p>
      </w:tc>
      <w:tc>
        <w:tcPr>
          <w:tcW w:w="2753" w:type="dxa"/>
          <w:vAlign w:val="center"/>
        </w:tcPr>
        <w:p w:rsidR="00B32270" w:rsidRPr="0029058A" w:rsidRDefault="00B32270" w:rsidP="000703C6">
          <w:pPr>
            <w:jc w:val="center"/>
          </w:pPr>
          <w:r>
            <w:t xml:space="preserve">Quality Control </w:t>
          </w:r>
        </w:p>
      </w:tc>
      <w:tc>
        <w:tcPr>
          <w:tcW w:w="2874" w:type="dxa"/>
          <w:vAlign w:val="center"/>
        </w:tcPr>
        <w:p w:rsidR="00B32270" w:rsidRPr="0029058A" w:rsidRDefault="00B32270" w:rsidP="006E21D7">
          <w:pPr>
            <w:jc w:val="center"/>
          </w:pPr>
          <w:r w:rsidRPr="0029058A">
            <w:t>Quality Assurance</w:t>
          </w:r>
        </w:p>
      </w:tc>
    </w:tr>
  </w:tbl>
  <w:p w:rsidR="005251EA" w:rsidRPr="00F12C2F" w:rsidRDefault="00F12C2F" w:rsidP="005251EA">
    <w:pPr>
      <w:pStyle w:val="Footer"/>
      <w:ind w:left="-504"/>
    </w:pPr>
    <w:r w:rsidRPr="00F12C2F">
      <w:t>QA001-FM1</w:t>
    </w:r>
    <w:r w:rsidR="007E4AA4">
      <w:t>39</w:t>
    </w:r>
    <w:r w:rsidR="00FF42D5">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EE7" w:rsidRDefault="00FD3EE7">
      <w:r>
        <w:separator/>
      </w:r>
    </w:p>
  </w:footnote>
  <w:footnote w:type="continuationSeparator" w:id="1">
    <w:p w:rsidR="00FD3EE7" w:rsidRDefault="00FD3E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1D5" w:rsidRDefault="002321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9E3189">
      <w:trPr>
        <w:cantSplit/>
        <w:trHeight w:val="432"/>
      </w:trPr>
      <w:tc>
        <w:tcPr>
          <w:tcW w:w="2133" w:type="dxa"/>
          <w:vMerge w:val="restart"/>
          <w:vAlign w:val="center"/>
        </w:tcPr>
        <w:p w:rsidR="0004260C" w:rsidRPr="007D7C90" w:rsidRDefault="007E4EA0" w:rsidP="00066343">
          <w:pPr>
            <w:ind w:left="792" w:hanging="792"/>
            <w:jc w:val="center"/>
            <w:rPr>
              <w:b/>
              <w:sz w:val="28"/>
              <w:szCs w:val="28"/>
            </w:rPr>
          </w:pPr>
          <w:r w:rsidRPr="007E4EA0">
            <w:rPr>
              <w:b/>
              <w:sz w:val="28"/>
              <w:szCs w:val="28"/>
            </w:rPr>
            <w:drawing>
              <wp:anchor distT="0" distB="0" distL="114300" distR="114300" simplePos="0" relativeHeight="251665408" behindDoc="0" locked="0" layoutInCell="1" allowOverlap="1">
                <wp:simplePos x="0" y="0"/>
                <wp:positionH relativeFrom="column">
                  <wp:posOffset>77470</wp:posOffset>
                </wp:positionH>
                <wp:positionV relativeFrom="paragraph">
                  <wp:posOffset>-224155</wp:posOffset>
                </wp:positionV>
                <wp:extent cx="933450" cy="7905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665058">
          <w:r>
            <w:t>SOP-</w:t>
          </w:r>
          <w:r w:rsidR="00491666">
            <w:t>QC</w:t>
          </w:r>
          <w:r>
            <w:t>-0</w:t>
          </w:r>
          <w:r w:rsidR="00665058">
            <w:t>0</w:t>
          </w:r>
          <w:r w:rsidR="00961DC2">
            <w:t>5</w:t>
          </w:r>
          <w:r>
            <w:t>-0</w:t>
          </w:r>
          <w:r w:rsidR="002321D5">
            <w:t>5</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6C2483">
          <w:pPr>
            <w:jc w:val="center"/>
          </w:pPr>
          <w:r>
            <w:t>0</w:t>
          </w:r>
          <w:r w:rsidR="00147C2C">
            <w:t>1</w:t>
          </w:r>
          <w:r w:rsidR="0004260C">
            <w:t>.</w:t>
          </w:r>
          <w:r>
            <w:t>0</w:t>
          </w:r>
          <w:r w:rsidR="0004260C">
            <w:t>1</w:t>
          </w:r>
          <w:r w:rsidR="0004260C" w:rsidRPr="007D7C90">
            <w:t>.201</w:t>
          </w:r>
          <w:r>
            <w:t>7</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Supersedes : </w:t>
          </w:r>
        </w:p>
      </w:tc>
      <w:tc>
        <w:tcPr>
          <w:tcW w:w="2403" w:type="dxa"/>
          <w:vAlign w:val="center"/>
        </w:tcPr>
        <w:p w:rsidR="0004260C" w:rsidRPr="007D7C90" w:rsidRDefault="002321D5" w:rsidP="00665058">
          <w:r>
            <w:t>SOP-QC-005-04</w:t>
          </w:r>
          <w:r w:rsidRPr="00317F12">
            <w:t xml:space="preserve">                </w:t>
          </w:r>
        </w:p>
      </w:tc>
      <w:tc>
        <w:tcPr>
          <w:tcW w:w="2115" w:type="dxa"/>
          <w:vAlign w:val="center"/>
        </w:tcPr>
        <w:p w:rsidR="0004260C" w:rsidRPr="007D7C90" w:rsidRDefault="0004260C" w:rsidP="00066343">
          <w:r w:rsidRPr="007D7C90">
            <w:t>Next Review Date:</w:t>
          </w:r>
        </w:p>
      </w:tc>
      <w:tc>
        <w:tcPr>
          <w:tcW w:w="1836" w:type="dxa"/>
          <w:vAlign w:val="center"/>
        </w:tcPr>
        <w:p w:rsidR="0004260C" w:rsidRPr="007D7C90" w:rsidRDefault="006C2483" w:rsidP="006C2483">
          <w:pPr>
            <w:jc w:val="center"/>
          </w:pPr>
          <w:r>
            <w:t>3</w:t>
          </w:r>
          <w:r w:rsidR="00147C2C">
            <w:t>1</w:t>
          </w:r>
          <w:r w:rsidR="0004260C" w:rsidRPr="007D7C90">
            <w:t>.</w:t>
          </w:r>
          <w:r>
            <w:t>12</w:t>
          </w:r>
          <w:r w:rsidR="0004260C" w:rsidRPr="007D7C90">
            <w:t>.20</w:t>
          </w:r>
          <w:r>
            <w:t>19</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491666" w:rsidP="00F356D0">
          <w:r>
            <w:t>Quality Control</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2D3E58" w:rsidP="00066343">
          <w:pPr>
            <w:jc w:val="center"/>
          </w:pPr>
          <w:r w:rsidRPr="007D7C90">
            <w:fldChar w:fldCharType="begin"/>
          </w:r>
          <w:r w:rsidR="0004260C" w:rsidRPr="007D7C90">
            <w:instrText xml:space="preserve"> PAGE </w:instrText>
          </w:r>
          <w:r w:rsidRPr="007D7C90">
            <w:fldChar w:fldCharType="separate"/>
          </w:r>
          <w:r w:rsidR="00FD3EE7">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FD3EE7">
            <w:rPr>
              <w:noProof/>
            </w:rPr>
            <w:t>1</w:t>
          </w:r>
          <w:r w:rsidRPr="007D7C90">
            <w:fldChar w:fldCharType="end"/>
          </w:r>
        </w:p>
      </w:tc>
    </w:tr>
    <w:tr w:rsidR="0004260C" w:rsidRPr="007D7C90" w:rsidTr="009E3189">
      <w:trPr>
        <w:cantSplit/>
        <w:trHeight w:val="432"/>
      </w:trPr>
      <w:tc>
        <w:tcPr>
          <w:tcW w:w="10152" w:type="dxa"/>
          <w:gridSpan w:val="5"/>
          <w:vAlign w:val="center"/>
        </w:tcPr>
        <w:p w:rsidR="0004260C" w:rsidRPr="007D7C90" w:rsidRDefault="00961DC2" w:rsidP="003C4800">
          <w:pPr>
            <w:ind w:left="1017" w:hanging="1017"/>
            <w:jc w:val="both"/>
            <w:rPr>
              <w:b/>
            </w:rPr>
          </w:pPr>
          <w:r w:rsidRPr="007D7C90">
            <w:rPr>
              <w:b/>
            </w:rPr>
            <w:t>TITLE:</w:t>
          </w:r>
          <w:r w:rsidR="003C4800">
            <w:rPr>
              <w:b/>
            </w:rPr>
            <w:t xml:space="preserve"> </w:t>
          </w:r>
          <w:r w:rsidR="003C4800" w:rsidRPr="00665D10">
            <w:rPr>
              <w:b/>
              <w:lang w:val="en-IN" w:eastAsia="en-IN"/>
            </w:rPr>
            <w:t>QUALIFIC</w:t>
          </w:r>
          <w:r w:rsidR="003C4800">
            <w:rPr>
              <w:b/>
              <w:lang w:val="en-IN" w:eastAsia="en-IN"/>
            </w:rPr>
            <w:t>ATION, HANDLING, STORAGE AND USA</w:t>
          </w:r>
          <w:r w:rsidR="003C4800" w:rsidRPr="00665D10">
            <w:rPr>
              <w:b/>
              <w:lang w:val="en-IN" w:eastAsia="en-IN"/>
            </w:rPr>
            <w:t xml:space="preserve">GE OF </w:t>
          </w:r>
          <w:r w:rsidR="003C4800">
            <w:rPr>
              <w:b/>
              <w:lang w:val="en-IN" w:eastAsia="en-IN"/>
            </w:rPr>
            <w:t xml:space="preserve">REFERENCE STANDARDS AND </w:t>
          </w:r>
          <w:r w:rsidR="003C4800" w:rsidRPr="00665D10">
            <w:rPr>
              <w:b/>
              <w:lang w:val="en-IN" w:eastAsia="en-IN"/>
            </w:rPr>
            <w:t>WORKING STANDARDS</w:t>
          </w:r>
        </w:p>
      </w:tc>
    </w:tr>
  </w:tbl>
  <w:p w:rsidR="0004260C" w:rsidRPr="0004260C" w:rsidRDefault="0004260C"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2D3E58" w:rsidP="007D7C90">
          <w:pPr>
            <w:jc w:val="center"/>
          </w:pPr>
          <w:fldSimple w:instr=" PAGE ">
            <w:r w:rsidR="005251EA">
              <w:rPr>
                <w:noProof/>
              </w:rPr>
              <w:t>1</w:t>
            </w:r>
          </w:fldSimple>
          <w:r w:rsidR="007D7C90" w:rsidRPr="007D7C90">
            <w:t xml:space="preserve"> of </w:t>
          </w:r>
          <w:fldSimple w:instr=" NUMPAGES ">
            <w:r w:rsidR="003F3619">
              <w:rPr>
                <w:noProof/>
              </w:rPr>
              <w:t>8</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914F7"/>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4424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B3043"/>
    <w:multiLevelType w:val="hybridMultilevel"/>
    <w:tmpl w:val="854C4FE6"/>
    <w:lvl w:ilvl="0" w:tplc="B7501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516CA"/>
    <w:multiLevelType w:val="multilevel"/>
    <w:tmpl w:val="8E1655D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
    <w:nsid w:val="6B9C001E"/>
    <w:multiLevelType w:val="hybridMultilevel"/>
    <w:tmpl w:val="373A2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savePreviewPicture/>
  <w:hdrShapeDefaults>
    <o:shapedefaults v:ext="edit" spidmax="586754">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39E"/>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4F54"/>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65"/>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0DE"/>
    <w:rsid w:val="00067A78"/>
    <w:rsid w:val="000703C6"/>
    <w:rsid w:val="00071753"/>
    <w:rsid w:val="0007188B"/>
    <w:rsid w:val="00071B95"/>
    <w:rsid w:val="00072A51"/>
    <w:rsid w:val="000730AC"/>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2FD5"/>
    <w:rsid w:val="000D397D"/>
    <w:rsid w:val="000D4396"/>
    <w:rsid w:val="000D49D3"/>
    <w:rsid w:val="000D5832"/>
    <w:rsid w:val="000D64DC"/>
    <w:rsid w:val="000D671E"/>
    <w:rsid w:val="000D7258"/>
    <w:rsid w:val="000D75FB"/>
    <w:rsid w:val="000D7680"/>
    <w:rsid w:val="000E0923"/>
    <w:rsid w:val="000E2868"/>
    <w:rsid w:val="000E3839"/>
    <w:rsid w:val="000E39BB"/>
    <w:rsid w:val="000E4541"/>
    <w:rsid w:val="000E5056"/>
    <w:rsid w:val="000E50EC"/>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B96"/>
    <w:rsid w:val="00132FAC"/>
    <w:rsid w:val="00133A1A"/>
    <w:rsid w:val="00134711"/>
    <w:rsid w:val="00134E33"/>
    <w:rsid w:val="00135094"/>
    <w:rsid w:val="00135BAF"/>
    <w:rsid w:val="00135F1A"/>
    <w:rsid w:val="00136B8B"/>
    <w:rsid w:val="00136D27"/>
    <w:rsid w:val="00137EF2"/>
    <w:rsid w:val="0014117D"/>
    <w:rsid w:val="00141AEC"/>
    <w:rsid w:val="00142D46"/>
    <w:rsid w:val="00143E02"/>
    <w:rsid w:val="00143E20"/>
    <w:rsid w:val="00144AD3"/>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6C25"/>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1F3"/>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971"/>
    <w:rsid w:val="001959BC"/>
    <w:rsid w:val="00195E5C"/>
    <w:rsid w:val="001968B4"/>
    <w:rsid w:val="001A0213"/>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D38"/>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BF0"/>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0F1E"/>
    <w:rsid w:val="0020185D"/>
    <w:rsid w:val="00202962"/>
    <w:rsid w:val="002031A5"/>
    <w:rsid w:val="002034E3"/>
    <w:rsid w:val="00203F79"/>
    <w:rsid w:val="00204543"/>
    <w:rsid w:val="002062A2"/>
    <w:rsid w:val="00206CAA"/>
    <w:rsid w:val="00206EEE"/>
    <w:rsid w:val="002104DB"/>
    <w:rsid w:val="0021112A"/>
    <w:rsid w:val="00211791"/>
    <w:rsid w:val="00212025"/>
    <w:rsid w:val="002128E9"/>
    <w:rsid w:val="0021291E"/>
    <w:rsid w:val="00212DB3"/>
    <w:rsid w:val="00213512"/>
    <w:rsid w:val="0021444E"/>
    <w:rsid w:val="00214C9C"/>
    <w:rsid w:val="00215AC4"/>
    <w:rsid w:val="00216713"/>
    <w:rsid w:val="00216C3E"/>
    <w:rsid w:val="00216DE2"/>
    <w:rsid w:val="00220309"/>
    <w:rsid w:val="00221588"/>
    <w:rsid w:val="002227EC"/>
    <w:rsid w:val="00223224"/>
    <w:rsid w:val="00224391"/>
    <w:rsid w:val="0022474D"/>
    <w:rsid w:val="002247CE"/>
    <w:rsid w:val="00224BE9"/>
    <w:rsid w:val="00224C77"/>
    <w:rsid w:val="00225928"/>
    <w:rsid w:val="002264A0"/>
    <w:rsid w:val="0022787D"/>
    <w:rsid w:val="002307E2"/>
    <w:rsid w:val="00230900"/>
    <w:rsid w:val="00230DDC"/>
    <w:rsid w:val="0023121C"/>
    <w:rsid w:val="00231518"/>
    <w:rsid w:val="002321D5"/>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5B5D"/>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19C6"/>
    <w:rsid w:val="002721D3"/>
    <w:rsid w:val="00272A94"/>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358A"/>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8D2"/>
    <w:rsid w:val="002B6D1D"/>
    <w:rsid w:val="002C14A9"/>
    <w:rsid w:val="002C192B"/>
    <w:rsid w:val="002C2784"/>
    <w:rsid w:val="002C286B"/>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3E58"/>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1374"/>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67A"/>
    <w:rsid w:val="0031770D"/>
    <w:rsid w:val="00320AAE"/>
    <w:rsid w:val="003224D8"/>
    <w:rsid w:val="003230A1"/>
    <w:rsid w:val="003233B7"/>
    <w:rsid w:val="003236D2"/>
    <w:rsid w:val="00324484"/>
    <w:rsid w:val="00324EE0"/>
    <w:rsid w:val="00325115"/>
    <w:rsid w:val="00325EB0"/>
    <w:rsid w:val="00327339"/>
    <w:rsid w:val="00327451"/>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979"/>
    <w:rsid w:val="00372D59"/>
    <w:rsid w:val="00373E91"/>
    <w:rsid w:val="00373EB0"/>
    <w:rsid w:val="0037425B"/>
    <w:rsid w:val="00374D27"/>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4BF3"/>
    <w:rsid w:val="003A4C37"/>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46D"/>
    <w:rsid w:val="003C38EE"/>
    <w:rsid w:val="003C41AE"/>
    <w:rsid w:val="003C4800"/>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CD8"/>
    <w:rsid w:val="003D6D89"/>
    <w:rsid w:val="003D6E5E"/>
    <w:rsid w:val="003D714B"/>
    <w:rsid w:val="003D74C7"/>
    <w:rsid w:val="003D76F5"/>
    <w:rsid w:val="003E0223"/>
    <w:rsid w:val="003E0A01"/>
    <w:rsid w:val="003E2EA9"/>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3619"/>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573"/>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5957"/>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54FE"/>
    <w:rsid w:val="00486134"/>
    <w:rsid w:val="004865AE"/>
    <w:rsid w:val="00486898"/>
    <w:rsid w:val="0048704E"/>
    <w:rsid w:val="00487197"/>
    <w:rsid w:val="004873D9"/>
    <w:rsid w:val="00487704"/>
    <w:rsid w:val="00490E95"/>
    <w:rsid w:val="00490F5C"/>
    <w:rsid w:val="00491117"/>
    <w:rsid w:val="00491666"/>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3B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162"/>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57D54"/>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3C6"/>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72E"/>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6A18"/>
    <w:rsid w:val="005B7113"/>
    <w:rsid w:val="005B7D79"/>
    <w:rsid w:val="005C14AC"/>
    <w:rsid w:val="005C242A"/>
    <w:rsid w:val="005C2840"/>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4E09"/>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81F"/>
    <w:rsid w:val="005E5EFD"/>
    <w:rsid w:val="005F000D"/>
    <w:rsid w:val="005F02BD"/>
    <w:rsid w:val="005F07A7"/>
    <w:rsid w:val="005F21CB"/>
    <w:rsid w:val="005F35B7"/>
    <w:rsid w:val="005F371C"/>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2952"/>
    <w:rsid w:val="00613E8E"/>
    <w:rsid w:val="00613F40"/>
    <w:rsid w:val="0061497A"/>
    <w:rsid w:val="006149D9"/>
    <w:rsid w:val="00616B1E"/>
    <w:rsid w:val="00617D8C"/>
    <w:rsid w:val="006202FC"/>
    <w:rsid w:val="006205DB"/>
    <w:rsid w:val="00620940"/>
    <w:rsid w:val="00624221"/>
    <w:rsid w:val="00624AA1"/>
    <w:rsid w:val="00625CA7"/>
    <w:rsid w:val="00627325"/>
    <w:rsid w:val="00627527"/>
    <w:rsid w:val="006276A1"/>
    <w:rsid w:val="00627778"/>
    <w:rsid w:val="00627D90"/>
    <w:rsid w:val="00627F5F"/>
    <w:rsid w:val="00630669"/>
    <w:rsid w:val="00630756"/>
    <w:rsid w:val="00630E4F"/>
    <w:rsid w:val="006318F3"/>
    <w:rsid w:val="006327E4"/>
    <w:rsid w:val="0063334F"/>
    <w:rsid w:val="00633747"/>
    <w:rsid w:val="00633DB3"/>
    <w:rsid w:val="00633F84"/>
    <w:rsid w:val="00634B22"/>
    <w:rsid w:val="00634DA8"/>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140"/>
    <w:rsid w:val="00664F6E"/>
    <w:rsid w:val="00665058"/>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12F"/>
    <w:rsid w:val="0069222E"/>
    <w:rsid w:val="00694E42"/>
    <w:rsid w:val="006954EF"/>
    <w:rsid w:val="006956E4"/>
    <w:rsid w:val="0069604B"/>
    <w:rsid w:val="0069683B"/>
    <w:rsid w:val="00697BD5"/>
    <w:rsid w:val="006A11F7"/>
    <w:rsid w:val="006A1330"/>
    <w:rsid w:val="006A2FF6"/>
    <w:rsid w:val="006A392B"/>
    <w:rsid w:val="006A4A9E"/>
    <w:rsid w:val="006A4B59"/>
    <w:rsid w:val="006A4E38"/>
    <w:rsid w:val="006A65D5"/>
    <w:rsid w:val="006A763B"/>
    <w:rsid w:val="006A7A63"/>
    <w:rsid w:val="006A7B5C"/>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4ECC"/>
    <w:rsid w:val="006C5950"/>
    <w:rsid w:val="006C5A47"/>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170C"/>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4DB5"/>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4CD0"/>
    <w:rsid w:val="00735943"/>
    <w:rsid w:val="007400EB"/>
    <w:rsid w:val="00740BFA"/>
    <w:rsid w:val="0074141E"/>
    <w:rsid w:val="007423C4"/>
    <w:rsid w:val="00742E6A"/>
    <w:rsid w:val="007436C1"/>
    <w:rsid w:val="00743B00"/>
    <w:rsid w:val="007449EA"/>
    <w:rsid w:val="00744BA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9FA"/>
    <w:rsid w:val="0078239A"/>
    <w:rsid w:val="0078345C"/>
    <w:rsid w:val="00783A4B"/>
    <w:rsid w:val="0078489B"/>
    <w:rsid w:val="00784902"/>
    <w:rsid w:val="00784DA4"/>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0E3"/>
    <w:rsid w:val="007952CC"/>
    <w:rsid w:val="007953ED"/>
    <w:rsid w:val="00795B87"/>
    <w:rsid w:val="00795FA3"/>
    <w:rsid w:val="00796652"/>
    <w:rsid w:val="00796A6D"/>
    <w:rsid w:val="00797361"/>
    <w:rsid w:val="00797F43"/>
    <w:rsid w:val="007A0041"/>
    <w:rsid w:val="007A06E7"/>
    <w:rsid w:val="007A0809"/>
    <w:rsid w:val="007A0A61"/>
    <w:rsid w:val="007A2D32"/>
    <w:rsid w:val="007A33A0"/>
    <w:rsid w:val="007A4368"/>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7A0"/>
    <w:rsid w:val="007C07D5"/>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4AA4"/>
    <w:rsid w:val="007E4EA0"/>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512"/>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6E63"/>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347"/>
    <w:rsid w:val="00862A19"/>
    <w:rsid w:val="0086356A"/>
    <w:rsid w:val="0086366E"/>
    <w:rsid w:val="008642AD"/>
    <w:rsid w:val="0086447B"/>
    <w:rsid w:val="00864A89"/>
    <w:rsid w:val="0086504D"/>
    <w:rsid w:val="008651F1"/>
    <w:rsid w:val="008658E5"/>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6A3F"/>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01"/>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25C"/>
    <w:rsid w:val="008E6D4B"/>
    <w:rsid w:val="008E784F"/>
    <w:rsid w:val="008E7F23"/>
    <w:rsid w:val="008F0B3C"/>
    <w:rsid w:val="008F151F"/>
    <w:rsid w:val="008F16B3"/>
    <w:rsid w:val="008F222C"/>
    <w:rsid w:val="008F5453"/>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479"/>
    <w:rsid w:val="009177B1"/>
    <w:rsid w:val="00917931"/>
    <w:rsid w:val="009209E6"/>
    <w:rsid w:val="009211E7"/>
    <w:rsid w:val="00921469"/>
    <w:rsid w:val="00921943"/>
    <w:rsid w:val="0092218D"/>
    <w:rsid w:val="0092265D"/>
    <w:rsid w:val="00922DEE"/>
    <w:rsid w:val="009232AE"/>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1F45"/>
    <w:rsid w:val="00952165"/>
    <w:rsid w:val="00952781"/>
    <w:rsid w:val="00952CC5"/>
    <w:rsid w:val="0095341F"/>
    <w:rsid w:val="00954E9E"/>
    <w:rsid w:val="00955D82"/>
    <w:rsid w:val="00956D55"/>
    <w:rsid w:val="009570F3"/>
    <w:rsid w:val="00957A8C"/>
    <w:rsid w:val="00957B70"/>
    <w:rsid w:val="00960340"/>
    <w:rsid w:val="009606D9"/>
    <w:rsid w:val="009610C1"/>
    <w:rsid w:val="00961DC2"/>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06E7"/>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5929"/>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97163"/>
    <w:rsid w:val="009A1190"/>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A792C"/>
    <w:rsid w:val="009A7D4F"/>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8F4"/>
    <w:rsid w:val="009E5BE5"/>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6EAA"/>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81D"/>
    <w:rsid w:val="00A66934"/>
    <w:rsid w:val="00A700AC"/>
    <w:rsid w:val="00A70868"/>
    <w:rsid w:val="00A70BC0"/>
    <w:rsid w:val="00A712EA"/>
    <w:rsid w:val="00A71902"/>
    <w:rsid w:val="00A722EC"/>
    <w:rsid w:val="00A74351"/>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5596"/>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4C1"/>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2F7E"/>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1F4A"/>
    <w:rsid w:val="00B2334F"/>
    <w:rsid w:val="00B2377A"/>
    <w:rsid w:val="00B23A7D"/>
    <w:rsid w:val="00B24DB9"/>
    <w:rsid w:val="00B252C1"/>
    <w:rsid w:val="00B2608A"/>
    <w:rsid w:val="00B263B3"/>
    <w:rsid w:val="00B26403"/>
    <w:rsid w:val="00B26775"/>
    <w:rsid w:val="00B274E5"/>
    <w:rsid w:val="00B27EB0"/>
    <w:rsid w:val="00B30B66"/>
    <w:rsid w:val="00B32270"/>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669"/>
    <w:rsid w:val="00B43DB1"/>
    <w:rsid w:val="00B44735"/>
    <w:rsid w:val="00B453DC"/>
    <w:rsid w:val="00B51945"/>
    <w:rsid w:val="00B535C1"/>
    <w:rsid w:val="00B53C85"/>
    <w:rsid w:val="00B56037"/>
    <w:rsid w:val="00B56134"/>
    <w:rsid w:val="00B56412"/>
    <w:rsid w:val="00B566EF"/>
    <w:rsid w:val="00B56FF9"/>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194"/>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87F8A"/>
    <w:rsid w:val="00B90776"/>
    <w:rsid w:val="00B914F9"/>
    <w:rsid w:val="00B92283"/>
    <w:rsid w:val="00B927E1"/>
    <w:rsid w:val="00B9421A"/>
    <w:rsid w:val="00B94739"/>
    <w:rsid w:val="00B956CA"/>
    <w:rsid w:val="00B97348"/>
    <w:rsid w:val="00B97F19"/>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25A"/>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28A"/>
    <w:rsid w:val="00BF4F73"/>
    <w:rsid w:val="00BF61E4"/>
    <w:rsid w:val="00BF6366"/>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9C3"/>
    <w:rsid w:val="00C26CCF"/>
    <w:rsid w:val="00C273E3"/>
    <w:rsid w:val="00C301D9"/>
    <w:rsid w:val="00C3052C"/>
    <w:rsid w:val="00C309F8"/>
    <w:rsid w:val="00C310AE"/>
    <w:rsid w:val="00C310B5"/>
    <w:rsid w:val="00C311F5"/>
    <w:rsid w:val="00C31521"/>
    <w:rsid w:val="00C3154E"/>
    <w:rsid w:val="00C31C2A"/>
    <w:rsid w:val="00C33D9D"/>
    <w:rsid w:val="00C3490D"/>
    <w:rsid w:val="00C3496C"/>
    <w:rsid w:val="00C34D2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691"/>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487"/>
    <w:rsid w:val="00CA7630"/>
    <w:rsid w:val="00CA7686"/>
    <w:rsid w:val="00CA76C0"/>
    <w:rsid w:val="00CB0203"/>
    <w:rsid w:val="00CB088C"/>
    <w:rsid w:val="00CB3640"/>
    <w:rsid w:val="00CB5650"/>
    <w:rsid w:val="00CB573E"/>
    <w:rsid w:val="00CB585C"/>
    <w:rsid w:val="00CB6090"/>
    <w:rsid w:val="00CC002E"/>
    <w:rsid w:val="00CC0DBA"/>
    <w:rsid w:val="00CC10DE"/>
    <w:rsid w:val="00CC1441"/>
    <w:rsid w:val="00CC1892"/>
    <w:rsid w:val="00CC245E"/>
    <w:rsid w:val="00CC2717"/>
    <w:rsid w:val="00CC4DBE"/>
    <w:rsid w:val="00CC528E"/>
    <w:rsid w:val="00CC56CE"/>
    <w:rsid w:val="00CC60BA"/>
    <w:rsid w:val="00CC7891"/>
    <w:rsid w:val="00CD0A35"/>
    <w:rsid w:val="00CD12D6"/>
    <w:rsid w:val="00CD16CC"/>
    <w:rsid w:val="00CD232E"/>
    <w:rsid w:val="00CD29F8"/>
    <w:rsid w:val="00CD2BAF"/>
    <w:rsid w:val="00CD2CF3"/>
    <w:rsid w:val="00CD2F46"/>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581B"/>
    <w:rsid w:val="00CF6068"/>
    <w:rsid w:val="00CF753C"/>
    <w:rsid w:val="00CF7D88"/>
    <w:rsid w:val="00D011BA"/>
    <w:rsid w:val="00D01715"/>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58"/>
    <w:rsid w:val="00D23F70"/>
    <w:rsid w:val="00D2401A"/>
    <w:rsid w:val="00D24702"/>
    <w:rsid w:val="00D2505E"/>
    <w:rsid w:val="00D25308"/>
    <w:rsid w:val="00D2683D"/>
    <w:rsid w:val="00D278B0"/>
    <w:rsid w:val="00D27F68"/>
    <w:rsid w:val="00D313C4"/>
    <w:rsid w:val="00D31721"/>
    <w:rsid w:val="00D32486"/>
    <w:rsid w:val="00D33F02"/>
    <w:rsid w:val="00D340CA"/>
    <w:rsid w:val="00D3564E"/>
    <w:rsid w:val="00D35E04"/>
    <w:rsid w:val="00D36745"/>
    <w:rsid w:val="00D36D20"/>
    <w:rsid w:val="00D37E94"/>
    <w:rsid w:val="00D37EDC"/>
    <w:rsid w:val="00D4091F"/>
    <w:rsid w:val="00D40982"/>
    <w:rsid w:val="00D40B77"/>
    <w:rsid w:val="00D4124D"/>
    <w:rsid w:val="00D41E85"/>
    <w:rsid w:val="00D42399"/>
    <w:rsid w:val="00D426AB"/>
    <w:rsid w:val="00D42CB5"/>
    <w:rsid w:val="00D4541C"/>
    <w:rsid w:val="00D457D2"/>
    <w:rsid w:val="00D45959"/>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47D3"/>
    <w:rsid w:val="00D66171"/>
    <w:rsid w:val="00D6674F"/>
    <w:rsid w:val="00D669CD"/>
    <w:rsid w:val="00D67170"/>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6DE8"/>
    <w:rsid w:val="00DD7012"/>
    <w:rsid w:val="00DD72CD"/>
    <w:rsid w:val="00DD7553"/>
    <w:rsid w:val="00DD7E01"/>
    <w:rsid w:val="00DD7EE3"/>
    <w:rsid w:val="00DE0025"/>
    <w:rsid w:val="00DE02ED"/>
    <w:rsid w:val="00DE02F4"/>
    <w:rsid w:val="00DE3E08"/>
    <w:rsid w:val="00DE3FBD"/>
    <w:rsid w:val="00DE4686"/>
    <w:rsid w:val="00DE4E34"/>
    <w:rsid w:val="00DE54FB"/>
    <w:rsid w:val="00DE6A34"/>
    <w:rsid w:val="00DE6D09"/>
    <w:rsid w:val="00DE7581"/>
    <w:rsid w:val="00DF0692"/>
    <w:rsid w:val="00DF1165"/>
    <w:rsid w:val="00DF1CD1"/>
    <w:rsid w:val="00DF276B"/>
    <w:rsid w:val="00DF2B4D"/>
    <w:rsid w:val="00DF2BFB"/>
    <w:rsid w:val="00DF3395"/>
    <w:rsid w:val="00DF3CB3"/>
    <w:rsid w:val="00DF46DD"/>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E13"/>
    <w:rsid w:val="00E25DFB"/>
    <w:rsid w:val="00E262F8"/>
    <w:rsid w:val="00E263E2"/>
    <w:rsid w:val="00E264AE"/>
    <w:rsid w:val="00E26E5C"/>
    <w:rsid w:val="00E275B7"/>
    <w:rsid w:val="00E27B91"/>
    <w:rsid w:val="00E31086"/>
    <w:rsid w:val="00E31FA0"/>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5A6"/>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2F4"/>
    <w:rsid w:val="00E756C2"/>
    <w:rsid w:val="00E77453"/>
    <w:rsid w:val="00E77AFD"/>
    <w:rsid w:val="00E80260"/>
    <w:rsid w:val="00E80338"/>
    <w:rsid w:val="00E80460"/>
    <w:rsid w:val="00E80F75"/>
    <w:rsid w:val="00E82240"/>
    <w:rsid w:val="00E822ED"/>
    <w:rsid w:val="00E831DD"/>
    <w:rsid w:val="00E83D4C"/>
    <w:rsid w:val="00E84D48"/>
    <w:rsid w:val="00E85272"/>
    <w:rsid w:val="00E857BB"/>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5953"/>
    <w:rsid w:val="00E9660F"/>
    <w:rsid w:val="00E96874"/>
    <w:rsid w:val="00E9693D"/>
    <w:rsid w:val="00E9775C"/>
    <w:rsid w:val="00E97CE4"/>
    <w:rsid w:val="00EA03C0"/>
    <w:rsid w:val="00EA1A0B"/>
    <w:rsid w:val="00EA3020"/>
    <w:rsid w:val="00EA34A1"/>
    <w:rsid w:val="00EA36A2"/>
    <w:rsid w:val="00EA3DE8"/>
    <w:rsid w:val="00EA4DF0"/>
    <w:rsid w:val="00EA4F10"/>
    <w:rsid w:val="00EA55FD"/>
    <w:rsid w:val="00EA61BA"/>
    <w:rsid w:val="00EA61DA"/>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70B"/>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1F1"/>
    <w:rsid w:val="00EF19E7"/>
    <w:rsid w:val="00EF2A31"/>
    <w:rsid w:val="00EF2A91"/>
    <w:rsid w:val="00EF2D6A"/>
    <w:rsid w:val="00EF3B1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3AA"/>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536"/>
    <w:rsid w:val="00F15CEE"/>
    <w:rsid w:val="00F162DC"/>
    <w:rsid w:val="00F16447"/>
    <w:rsid w:val="00F16C38"/>
    <w:rsid w:val="00F21076"/>
    <w:rsid w:val="00F217C3"/>
    <w:rsid w:val="00F22728"/>
    <w:rsid w:val="00F228C8"/>
    <w:rsid w:val="00F22B28"/>
    <w:rsid w:val="00F23145"/>
    <w:rsid w:val="00F23952"/>
    <w:rsid w:val="00F239A2"/>
    <w:rsid w:val="00F23C64"/>
    <w:rsid w:val="00F23E53"/>
    <w:rsid w:val="00F25970"/>
    <w:rsid w:val="00F26833"/>
    <w:rsid w:val="00F27038"/>
    <w:rsid w:val="00F272D9"/>
    <w:rsid w:val="00F276BF"/>
    <w:rsid w:val="00F300E8"/>
    <w:rsid w:val="00F30129"/>
    <w:rsid w:val="00F304FB"/>
    <w:rsid w:val="00F30A0C"/>
    <w:rsid w:val="00F30C1E"/>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3A06"/>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65F"/>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C8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452"/>
    <w:rsid w:val="00FB2922"/>
    <w:rsid w:val="00FB2FB2"/>
    <w:rsid w:val="00FB3B41"/>
    <w:rsid w:val="00FB3F66"/>
    <w:rsid w:val="00FB5C99"/>
    <w:rsid w:val="00FB60B1"/>
    <w:rsid w:val="00FB63C5"/>
    <w:rsid w:val="00FB6E56"/>
    <w:rsid w:val="00FB7679"/>
    <w:rsid w:val="00FB7C2C"/>
    <w:rsid w:val="00FC04E5"/>
    <w:rsid w:val="00FC08A2"/>
    <w:rsid w:val="00FC161A"/>
    <w:rsid w:val="00FC2BEC"/>
    <w:rsid w:val="00FC352F"/>
    <w:rsid w:val="00FC6127"/>
    <w:rsid w:val="00FC6206"/>
    <w:rsid w:val="00FC7407"/>
    <w:rsid w:val="00FC7D15"/>
    <w:rsid w:val="00FD01D6"/>
    <w:rsid w:val="00FD0963"/>
    <w:rsid w:val="00FD09FA"/>
    <w:rsid w:val="00FD0E5C"/>
    <w:rsid w:val="00FD125E"/>
    <w:rsid w:val="00FD1BDD"/>
    <w:rsid w:val="00FD1DC9"/>
    <w:rsid w:val="00FD36EA"/>
    <w:rsid w:val="00FD3DBD"/>
    <w:rsid w:val="00FD3EE7"/>
    <w:rsid w:val="00FD45E7"/>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67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 w:type="paragraph" w:styleId="BodyTextIndent3">
    <w:name w:val="Body Text Indent 3"/>
    <w:basedOn w:val="Normal"/>
    <w:link w:val="BodyTextIndent3Char"/>
    <w:rsid w:val="00665058"/>
    <w:pPr>
      <w:spacing w:after="120"/>
      <w:ind w:left="360"/>
    </w:pPr>
    <w:rPr>
      <w:sz w:val="16"/>
      <w:szCs w:val="16"/>
    </w:rPr>
  </w:style>
  <w:style w:type="character" w:customStyle="1" w:styleId="BodyTextIndent3Char">
    <w:name w:val="Body Text Indent 3 Char"/>
    <w:basedOn w:val="DefaultParagraphFont"/>
    <w:link w:val="BodyTextIndent3"/>
    <w:rsid w:val="00665058"/>
    <w:rPr>
      <w:sz w:val="16"/>
      <w:szCs w:val="16"/>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A53C7-0CAB-420C-B107-CCBBBCB0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3466</TotalTime>
  <Pages>9</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2217</cp:revision>
  <cp:lastPrinted>2016-12-28T11:35:00Z</cp:lastPrinted>
  <dcterms:created xsi:type="dcterms:W3CDTF">2012-09-11T07:20:00Z</dcterms:created>
  <dcterms:modified xsi:type="dcterms:W3CDTF">2017-10-13T08:50:00Z</dcterms:modified>
</cp:coreProperties>
</file>