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B00137" w:rsidRDefault="00530280" w:rsidP="00F6565F">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PURPOSE:</w:t>
      </w:r>
      <w:r w:rsidRPr="00B00137">
        <w:rPr>
          <w:color w:val="000000" w:themeColor="text1"/>
        </w:rPr>
        <w:t xml:space="preserve"> </w:t>
      </w:r>
    </w:p>
    <w:p w:rsidR="00634DA8" w:rsidRDefault="00634DA8" w:rsidP="003B4EBC">
      <w:pPr>
        <w:spacing w:line="360" w:lineRule="auto"/>
        <w:ind w:right="-108"/>
        <w:jc w:val="both"/>
        <w:rPr>
          <w:color w:val="000000"/>
        </w:rPr>
      </w:pPr>
      <w:r w:rsidRPr="002264AF">
        <w:t>T</w:t>
      </w:r>
      <w:r>
        <w:t>o lay down a procedure for analyst qualification of quality c</w:t>
      </w:r>
      <w:r w:rsidRPr="002264AF">
        <w:t>ontrol analysts, to ensure the consistency and reliability in the analytical results</w:t>
      </w:r>
      <w:r>
        <w:t>.</w:t>
      </w:r>
    </w:p>
    <w:p w:rsidR="00530280" w:rsidRPr="00B00137" w:rsidRDefault="00530280" w:rsidP="00F6565F">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SCOPE:</w:t>
      </w:r>
      <w:r w:rsidRPr="00B00137">
        <w:rPr>
          <w:color w:val="000000" w:themeColor="text1"/>
        </w:rPr>
        <w:t xml:space="preserve"> </w:t>
      </w:r>
    </w:p>
    <w:p w:rsidR="00B81B7E" w:rsidRDefault="00634DA8" w:rsidP="003B4EBC">
      <w:pPr>
        <w:spacing w:line="360" w:lineRule="auto"/>
        <w:ind w:right="-108"/>
        <w:jc w:val="both"/>
      </w:pPr>
      <w:r w:rsidRPr="002264AF">
        <w:t>This SOP is applicable to all the analysts working in the Quality Control department</w:t>
      </w:r>
      <w:r w:rsidR="00A6681D">
        <w:rPr>
          <w:color w:val="000000"/>
        </w:rPr>
        <w:t xml:space="preserve"> </w:t>
      </w:r>
      <w:r w:rsidR="002C4484">
        <w:t xml:space="preserve">at </w:t>
      </w:r>
      <w:r w:rsidR="00B81B7E" w:rsidRPr="003B4EBC">
        <w:rPr>
          <w:color w:val="000000"/>
        </w:rPr>
        <w:t>Discovery</w:t>
      </w:r>
      <w:r w:rsidR="00BE6629">
        <w:rPr>
          <w:color w:val="000000"/>
        </w:rPr>
        <w:t>.</w:t>
      </w:r>
    </w:p>
    <w:p w:rsidR="00530280" w:rsidRDefault="00530280" w:rsidP="00F6565F">
      <w:pPr>
        <w:numPr>
          <w:ilvl w:val="0"/>
          <w:numId w:val="1"/>
        </w:numPr>
        <w:tabs>
          <w:tab w:val="clear" w:pos="720"/>
        </w:tabs>
        <w:spacing w:line="360" w:lineRule="auto"/>
        <w:ind w:left="-225" w:right="-90" w:hanging="288"/>
        <w:jc w:val="both"/>
        <w:rPr>
          <w:b/>
          <w:color w:val="000000" w:themeColor="text1"/>
        </w:rPr>
      </w:pPr>
      <w:r w:rsidRPr="00B00137">
        <w:rPr>
          <w:b/>
          <w:color w:val="000000" w:themeColor="text1"/>
        </w:rPr>
        <w:t>RESPONSIBILITY:</w:t>
      </w:r>
    </w:p>
    <w:p w:rsidR="00F15536" w:rsidRPr="002264AF" w:rsidRDefault="00F15536" w:rsidP="00F15536">
      <w:pPr>
        <w:numPr>
          <w:ilvl w:val="1"/>
          <w:numId w:val="1"/>
        </w:numPr>
        <w:tabs>
          <w:tab w:val="clear" w:pos="720"/>
          <w:tab w:val="left" w:pos="585"/>
          <w:tab w:val="num" w:pos="1125"/>
        </w:tabs>
        <w:spacing w:line="360" w:lineRule="auto"/>
        <w:ind w:left="558" w:right="-108" w:hanging="558"/>
        <w:jc w:val="both"/>
        <w:rPr>
          <w:bCs/>
        </w:rPr>
      </w:pPr>
      <w:r w:rsidRPr="002264AF">
        <w:rPr>
          <w:bCs/>
        </w:rPr>
        <w:t xml:space="preserve">Analyst-QC is responsible to follow this SOP. </w:t>
      </w:r>
    </w:p>
    <w:p w:rsidR="00F15536" w:rsidRPr="002264AF" w:rsidRDefault="00F15536" w:rsidP="00F15536">
      <w:pPr>
        <w:numPr>
          <w:ilvl w:val="1"/>
          <w:numId w:val="1"/>
        </w:numPr>
        <w:tabs>
          <w:tab w:val="clear" w:pos="720"/>
          <w:tab w:val="left" w:pos="585"/>
          <w:tab w:val="num" w:pos="1125"/>
        </w:tabs>
        <w:spacing w:line="360" w:lineRule="auto"/>
        <w:ind w:left="558" w:right="-108" w:hanging="558"/>
        <w:jc w:val="both"/>
        <w:rPr>
          <w:bCs/>
        </w:rPr>
      </w:pPr>
      <w:r w:rsidRPr="002264AF">
        <w:rPr>
          <w:bCs/>
        </w:rPr>
        <w:t>Head-QC/Designee is responsible for ensuring implementation of this SOP.</w:t>
      </w:r>
    </w:p>
    <w:p w:rsidR="00F15536" w:rsidRPr="002264AF" w:rsidRDefault="00F15536" w:rsidP="00F15536">
      <w:pPr>
        <w:numPr>
          <w:ilvl w:val="1"/>
          <w:numId w:val="1"/>
        </w:numPr>
        <w:tabs>
          <w:tab w:val="clear" w:pos="720"/>
          <w:tab w:val="left" w:pos="585"/>
          <w:tab w:val="num" w:pos="1125"/>
        </w:tabs>
        <w:spacing w:line="360" w:lineRule="auto"/>
        <w:ind w:left="558" w:right="-108" w:hanging="558"/>
        <w:jc w:val="both"/>
        <w:rPr>
          <w:bCs/>
        </w:rPr>
      </w:pPr>
      <w:r w:rsidRPr="002264AF">
        <w:rPr>
          <w:bCs/>
        </w:rPr>
        <w:t>Head-QA/Designee is responsible for monitoring overall compliance of this SOP.</w:t>
      </w:r>
    </w:p>
    <w:p w:rsidR="003B4EBC" w:rsidRPr="003B4EBC" w:rsidRDefault="003B4EBC" w:rsidP="00F6565F">
      <w:pPr>
        <w:numPr>
          <w:ilvl w:val="0"/>
          <w:numId w:val="1"/>
        </w:numPr>
        <w:tabs>
          <w:tab w:val="clear" w:pos="720"/>
        </w:tabs>
        <w:spacing w:line="360" w:lineRule="auto"/>
        <w:ind w:left="-225" w:right="-315" w:hanging="288"/>
        <w:jc w:val="both"/>
        <w:rPr>
          <w:b/>
          <w:color w:val="000000" w:themeColor="text1"/>
        </w:rPr>
      </w:pPr>
      <w:r w:rsidRPr="00B00137">
        <w:rPr>
          <w:b/>
          <w:caps/>
          <w:color w:val="000000" w:themeColor="text1"/>
        </w:rPr>
        <w:t>Definitions</w:t>
      </w:r>
      <w:r>
        <w:rPr>
          <w:b/>
          <w:caps/>
          <w:color w:val="000000" w:themeColor="text1"/>
        </w:rPr>
        <w:t>:</w:t>
      </w:r>
    </w:p>
    <w:p w:rsidR="00F64501" w:rsidRPr="002C4484" w:rsidRDefault="002C4484" w:rsidP="00F64501">
      <w:pPr>
        <w:spacing w:line="360" w:lineRule="auto"/>
        <w:ind w:right="-29"/>
        <w:jc w:val="both"/>
        <w:rPr>
          <w:bCs/>
        </w:rPr>
      </w:pPr>
      <w:r w:rsidRPr="002C4484">
        <w:rPr>
          <w:bCs/>
        </w:rPr>
        <w:t>NIL</w:t>
      </w:r>
    </w:p>
    <w:p w:rsidR="004F6097" w:rsidRPr="00B00137" w:rsidRDefault="004F6097" w:rsidP="00F6565F">
      <w:pPr>
        <w:numPr>
          <w:ilvl w:val="0"/>
          <w:numId w:val="1"/>
        </w:numPr>
        <w:tabs>
          <w:tab w:val="clear" w:pos="720"/>
        </w:tabs>
        <w:spacing w:line="360" w:lineRule="auto"/>
        <w:ind w:left="-225" w:right="-315" w:hanging="288"/>
        <w:jc w:val="both"/>
        <w:rPr>
          <w:b/>
          <w:color w:val="000000" w:themeColor="text1"/>
        </w:rPr>
      </w:pPr>
      <w:r w:rsidRPr="00B00137">
        <w:rPr>
          <w:b/>
          <w:color w:val="000000" w:themeColor="text1"/>
        </w:rPr>
        <w:t>PROCEDURE :</w:t>
      </w:r>
    </w:p>
    <w:p w:rsidR="00F15536" w:rsidRPr="00F15536" w:rsidRDefault="00F15536" w:rsidP="00F15536">
      <w:pPr>
        <w:numPr>
          <w:ilvl w:val="1"/>
          <w:numId w:val="1"/>
        </w:numPr>
        <w:tabs>
          <w:tab w:val="clear" w:pos="720"/>
          <w:tab w:val="left" w:pos="585"/>
          <w:tab w:val="num" w:pos="1125"/>
        </w:tabs>
        <w:spacing w:line="360" w:lineRule="auto"/>
        <w:ind w:left="558" w:right="-108" w:hanging="558"/>
        <w:jc w:val="both"/>
        <w:rPr>
          <w:bCs/>
        </w:rPr>
      </w:pPr>
      <w:r w:rsidRPr="002264AF">
        <w:rPr>
          <w:bCs/>
        </w:rPr>
        <w:t>The Analyst qualification is intended to ensure the analyst’s ability in understanding the SOPs, STPs and knowledge about using the instruments and performing the analysis, evaluation of the analytical results and reporting</w:t>
      </w:r>
      <w:r>
        <w:rPr>
          <w:bCs/>
        </w:rPr>
        <w:t>.</w:t>
      </w:r>
    </w:p>
    <w:p w:rsidR="00F15536" w:rsidRPr="002264AF" w:rsidRDefault="00F15536" w:rsidP="00F15536">
      <w:pPr>
        <w:numPr>
          <w:ilvl w:val="1"/>
          <w:numId w:val="1"/>
        </w:numPr>
        <w:tabs>
          <w:tab w:val="clear" w:pos="720"/>
          <w:tab w:val="left" w:pos="585"/>
          <w:tab w:val="num" w:pos="1125"/>
        </w:tabs>
        <w:spacing w:line="360" w:lineRule="auto"/>
        <w:ind w:left="558" w:right="-108" w:hanging="558"/>
        <w:jc w:val="both"/>
        <w:rPr>
          <w:bCs/>
        </w:rPr>
      </w:pPr>
      <w:r w:rsidRPr="002264AF">
        <w:rPr>
          <w:bCs/>
        </w:rPr>
        <w:t>The ability of the analyst shall be evaluated in terms of the accuracy and precision to perform the tests and reporting the same.</w:t>
      </w:r>
    </w:p>
    <w:p w:rsidR="00F15536" w:rsidRPr="002264AF" w:rsidRDefault="00F15536" w:rsidP="00F15536">
      <w:pPr>
        <w:numPr>
          <w:ilvl w:val="1"/>
          <w:numId w:val="1"/>
        </w:numPr>
        <w:tabs>
          <w:tab w:val="clear" w:pos="720"/>
          <w:tab w:val="left" w:pos="585"/>
          <w:tab w:val="num" w:pos="1125"/>
        </w:tabs>
        <w:spacing w:line="360" w:lineRule="auto"/>
        <w:ind w:left="558" w:right="-108" w:hanging="558"/>
        <w:jc w:val="both"/>
        <w:rPr>
          <w:bCs/>
        </w:rPr>
      </w:pPr>
      <w:r w:rsidRPr="002264AF">
        <w:rPr>
          <w:bCs/>
        </w:rPr>
        <w:t>The analyst qualification shall be done for all the q</w:t>
      </w:r>
      <w:r>
        <w:rPr>
          <w:bCs/>
        </w:rPr>
        <w:t xml:space="preserve">uality control personnel below </w:t>
      </w:r>
      <w:r w:rsidRPr="002264AF">
        <w:rPr>
          <w:bCs/>
        </w:rPr>
        <w:t>Assistant manager level.</w:t>
      </w:r>
    </w:p>
    <w:p w:rsidR="00F15536" w:rsidRDefault="00F15536" w:rsidP="00F15536">
      <w:pPr>
        <w:numPr>
          <w:ilvl w:val="1"/>
          <w:numId w:val="1"/>
        </w:numPr>
        <w:tabs>
          <w:tab w:val="clear" w:pos="720"/>
          <w:tab w:val="left" w:pos="585"/>
          <w:tab w:val="num" w:pos="1125"/>
        </w:tabs>
        <w:spacing w:line="360" w:lineRule="auto"/>
        <w:ind w:left="558" w:right="-108" w:hanging="558"/>
        <w:jc w:val="both"/>
        <w:rPr>
          <w:bCs/>
        </w:rPr>
      </w:pPr>
      <w:r w:rsidRPr="002264AF">
        <w:rPr>
          <w:bCs/>
        </w:rPr>
        <w:t>The Analyst qualification shall be done in the following two cases</w:t>
      </w:r>
      <w:r>
        <w:rPr>
          <w:bCs/>
        </w:rPr>
        <w:t>;</w:t>
      </w:r>
    </w:p>
    <w:p w:rsidR="00F15536" w:rsidRPr="002264AF" w:rsidRDefault="00F15536" w:rsidP="00F15536">
      <w:pPr>
        <w:numPr>
          <w:ilvl w:val="2"/>
          <w:numId w:val="1"/>
        </w:numPr>
        <w:tabs>
          <w:tab w:val="clear" w:pos="2160"/>
          <w:tab w:val="num" w:pos="1143"/>
        </w:tabs>
        <w:autoSpaceDE w:val="0"/>
        <w:autoSpaceDN w:val="0"/>
        <w:adjustRightInd w:val="0"/>
        <w:spacing w:line="360" w:lineRule="auto"/>
        <w:ind w:left="1143" w:right="-108" w:hanging="603"/>
        <w:jc w:val="both"/>
      </w:pPr>
      <w:r w:rsidRPr="002264AF">
        <w:t>For new analyst, after initial training, before allotting him/her the regular work.</w:t>
      </w:r>
    </w:p>
    <w:p w:rsidR="00F15536" w:rsidRDefault="00F15536" w:rsidP="00F15536">
      <w:pPr>
        <w:numPr>
          <w:ilvl w:val="2"/>
          <w:numId w:val="1"/>
        </w:numPr>
        <w:tabs>
          <w:tab w:val="clear" w:pos="2160"/>
          <w:tab w:val="num" w:pos="1143"/>
        </w:tabs>
        <w:autoSpaceDE w:val="0"/>
        <w:autoSpaceDN w:val="0"/>
        <w:adjustRightInd w:val="0"/>
        <w:spacing w:line="360" w:lineRule="auto"/>
        <w:ind w:left="1143" w:right="-108" w:hanging="603"/>
        <w:jc w:val="both"/>
      </w:pPr>
      <w:r w:rsidRPr="002264AF">
        <w:t>For existing analyst whenever his/her work place is changed from one area to another area.</w:t>
      </w:r>
    </w:p>
    <w:p w:rsidR="00F15536" w:rsidRPr="00F15536" w:rsidRDefault="00F15536" w:rsidP="00F15536">
      <w:pPr>
        <w:numPr>
          <w:ilvl w:val="1"/>
          <w:numId w:val="1"/>
        </w:numPr>
        <w:tabs>
          <w:tab w:val="clear" w:pos="720"/>
          <w:tab w:val="left" w:pos="585"/>
          <w:tab w:val="num" w:pos="1125"/>
        </w:tabs>
        <w:spacing w:line="360" w:lineRule="auto"/>
        <w:ind w:left="558" w:right="-108" w:hanging="558"/>
        <w:jc w:val="both"/>
        <w:rPr>
          <w:bCs/>
        </w:rPr>
      </w:pPr>
      <w:r w:rsidRPr="00F15536">
        <w:rPr>
          <w:bCs/>
        </w:rPr>
        <w:t xml:space="preserve">Whenever new employee below Assistant Manager </w:t>
      </w:r>
      <w:r w:rsidR="00EE590D" w:rsidRPr="00F15536">
        <w:rPr>
          <w:bCs/>
        </w:rPr>
        <w:t>Cadre</w:t>
      </w:r>
      <w:r w:rsidRPr="00F15536">
        <w:rPr>
          <w:bCs/>
        </w:rPr>
        <w:t xml:space="preserve"> joins in Quality control department, induction and orientation training shall be given to him</w:t>
      </w:r>
      <w:r w:rsidRPr="00B272B4">
        <w:rPr>
          <w:bCs/>
        </w:rPr>
        <w:t>.</w:t>
      </w:r>
    </w:p>
    <w:p w:rsidR="00F15536" w:rsidRPr="00F15536" w:rsidRDefault="00F15536" w:rsidP="00F15536">
      <w:pPr>
        <w:numPr>
          <w:ilvl w:val="1"/>
          <w:numId w:val="1"/>
        </w:numPr>
        <w:tabs>
          <w:tab w:val="clear" w:pos="720"/>
          <w:tab w:val="left" w:pos="585"/>
          <w:tab w:val="num" w:pos="1125"/>
        </w:tabs>
        <w:spacing w:line="360" w:lineRule="auto"/>
        <w:ind w:left="558" w:right="-108" w:hanging="558"/>
        <w:jc w:val="both"/>
        <w:rPr>
          <w:bCs/>
        </w:rPr>
      </w:pPr>
      <w:r w:rsidRPr="00F15536">
        <w:rPr>
          <w:bCs/>
        </w:rPr>
        <w:lastRenderedPageBreak/>
        <w:t>After training, employee shall allocate either for wet analysis or instrumentation based on the qualification and experience of the employee depending on the requirements.</w:t>
      </w:r>
    </w:p>
    <w:p w:rsidR="00F15536" w:rsidRPr="00F15536" w:rsidRDefault="00F15536" w:rsidP="00F15536">
      <w:pPr>
        <w:numPr>
          <w:ilvl w:val="1"/>
          <w:numId w:val="1"/>
        </w:numPr>
        <w:tabs>
          <w:tab w:val="clear" w:pos="720"/>
          <w:tab w:val="left" w:pos="585"/>
          <w:tab w:val="num" w:pos="1125"/>
        </w:tabs>
        <w:spacing w:line="360" w:lineRule="auto"/>
        <w:ind w:left="558" w:right="-108" w:hanging="558"/>
        <w:jc w:val="both"/>
        <w:rPr>
          <w:bCs/>
        </w:rPr>
      </w:pPr>
      <w:r w:rsidRPr="00F15536">
        <w:rPr>
          <w:bCs/>
        </w:rPr>
        <w:t>Training on all equipment’s of his section shall be given to the employee based on his experience.</w:t>
      </w:r>
    </w:p>
    <w:p w:rsidR="00F15536" w:rsidRPr="00F15536" w:rsidRDefault="00F15536" w:rsidP="00F15536">
      <w:pPr>
        <w:numPr>
          <w:ilvl w:val="1"/>
          <w:numId w:val="1"/>
        </w:numPr>
        <w:tabs>
          <w:tab w:val="clear" w:pos="720"/>
          <w:tab w:val="left" w:pos="585"/>
          <w:tab w:val="num" w:pos="1125"/>
        </w:tabs>
        <w:spacing w:line="360" w:lineRule="auto"/>
        <w:ind w:left="558" w:right="-108" w:hanging="558"/>
        <w:jc w:val="both"/>
        <w:rPr>
          <w:bCs/>
        </w:rPr>
      </w:pPr>
      <w:r w:rsidRPr="00F15536">
        <w:rPr>
          <w:bCs/>
        </w:rPr>
        <w:t xml:space="preserve">After completion of training on each equipment / analysis, the employee shall be evaluated </w:t>
      </w:r>
    </w:p>
    <w:p w:rsidR="00F15536" w:rsidRPr="00546AE6" w:rsidRDefault="00F15536" w:rsidP="00F15536">
      <w:pPr>
        <w:numPr>
          <w:ilvl w:val="1"/>
          <w:numId w:val="1"/>
        </w:numPr>
        <w:tabs>
          <w:tab w:val="clear" w:pos="720"/>
          <w:tab w:val="left" w:pos="585"/>
          <w:tab w:val="num" w:pos="1125"/>
        </w:tabs>
        <w:spacing w:line="360" w:lineRule="auto"/>
        <w:ind w:left="558" w:right="-108" w:hanging="558"/>
        <w:jc w:val="both"/>
        <w:rPr>
          <w:bCs/>
        </w:rPr>
      </w:pPr>
      <w:r w:rsidRPr="002264AF">
        <w:rPr>
          <w:bCs/>
        </w:rPr>
        <w:t xml:space="preserve">Head- </w:t>
      </w:r>
      <w:r>
        <w:rPr>
          <w:bCs/>
        </w:rPr>
        <w:t>QC or his designee shall give sample from</w:t>
      </w:r>
      <w:r w:rsidRPr="002264AF">
        <w:rPr>
          <w:bCs/>
        </w:rPr>
        <w:t xml:space="preserve"> approved batch to the analyst for ‘analyst </w:t>
      </w:r>
      <w:r>
        <w:rPr>
          <w:bCs/>
        </w:rPr>
        <w:t xml:space="preserve">qualification along with </w:t>
      </w:r>
      <w:r w:rsidRPr="00F15536">
        <w:rPr>
          <w:bCs/>
        </w:rPr>
        <w:t>analyst qualification raw data.</w:t>
      </w:r>
    </w:p>
    <w:p w:rsidR="00F15536" w:rsidRDefault="00F15536" w:rsidP="00F30C1E">
      <w:pPr>
        <w:tabs>
          <w:tab w:val="left" w:pos="585"/>
        </w:tabs>
        <w:spacing w:line="360" w:lineRule="auto"/>
        <w:ind w:left="558" w:right="-108"/>
        <w:jc w:val="both"/>
        <w:rPr>
          <w:bCs/>
        </w:rPr>
      </w:pPr>
      <w:r w:rsidRPr="00F15536">
        <w:rPr>
          <w:bCs/>
        </w:rPr>
        <w:t>Note:</w:t>
      </w:r>
      <w:r>
        <w:rPr>
          <w:bCs/>
        </w:rPr>
        <w:t xml:space="preserve"> D</w:t>
      </w:r>
      <w:r w:rsidRPr="00F15536">
        <w:rPr>
          <w:bCs/>
        </w:rPr>
        <w:t>isclose the necessary information required for analysis before start up.</w:t>
      </w:r>
      <w:r>
        <w:rPr>
          <w:bCs/>
        </w:rPr>
        <w:t xml:space="preserve"> </w:t>
      </w:r>
    </w:p>
    <w:p w:rsidR="00F15536" w:rsidRPr="002264AF" w:rsidRDefault="00F15536" w:rsidP="00F15536">
      <w:pPr>
        <w:numPr>
          <w:ilvl w:val="1"/>
          <w:numId w:val="1"/>
        </w:numPr>
        <w:tabs>
          <w:tab w:val="clear" w:pos="720"/>
          <w:tab w:val="left" w:pos="585"/>
          <w:tab w:val="num" w:pos="1125"/>
        </w:tabs>
        <w:spacing w:line="360" w:lineRule="auto"/>
        <w:ind w:left="558" w:right="-108" w:hanging="558"/>
        <w:jc w:val="both"/>
        <w:rPr>
          <w:bCs/>
        </w:rPr>
      </w:pPr>
      <w:r w:rsidRPr="00F15536">
        <w:rPr>
          <w:bCs/>
        </w:rPr>
        <w:t>The initial analytical results shall not be disclosed to the analyst.</w:t>
      </w:r>
    </w:p>
    <w:p w:rsidR="00F15536" w:rsidRDefault="00F15536" w:rsidP="00F15536">
      <w:pPr>
        <w:numPr>
          <w:ilvl w:val="1"/>
          <w:numId w:val="1"/>
        </w:numPr>
        <w:tabs>
          <w:tab w:val="clear" w:pos="720"/>
          <w:tab w:val="left" w:pos="585"/>
          <w:tab w:val="num" w:pos="1125"/>
        </w:tabs>
        <w:spacing w:line="360" w:lineRule="auto"/>
        <w:ind w:left="558" w:right="-108" w:hanging="558"/>
        <w:jc w:val="both"/>
        <w:rPr>
          <w:bCs/>
        </w:rPr>
      </w:pPr>
      <w:r w:rsidRPr="00F15536">
        <w:rPr>
          <w:bCs/>
        </w:rPr>
        <w:t>A code shall be assigned for the sample which shall be given to the analyst for ‘analyst qualification’.</w:t>
      </w:r>
    </w:p>
    <w:p w:rsidR="00F15536" w:rsidRPr="009232AE" w:rsidRDefault="00EE590D" w:rsidP="009232AE">
      <w:pPr>
        <w:tabs>
          <w:tab w:val="left" w:pos="567"/>
        </w:tabs>
        <w:spacing w:line="360" w:lineRule="auto"/>
        <w:ind w:left="558" w:right="-108"/>
        <w:jc w:val="both"/>
        <w:rPr>
          <w:bCs/>
        </w:rPr>
      </w:pPr>
      <w:r>
        <w:rPr>
          <w:bCs/>
        </w:rPr>
        <w:t>e.g.: S</w:t>
      </w:r>
      <w:r w:rsidR="00F15536" w:rsidRPr="009232AE">
        <w:rPr>
          <w:bCs/>
        </w:rPr>
        <w:t>ample coding: AQ16001</w:t>
      </w:r>
    </w:p>
    <w:p w:rsidR="00F15536" w:rsidRPr="009232AE" w:rsidRDefault="00F15536" w:rsidP="009232AE">
      <w:pPr>
        <w:tabs>
          <w:tab w:val="left" w:pos="567"/>
        </w:tabs>
        <w:spacing w:line="360" w:lineRule="auto"/>
        <w:ind w:left="558" w:right="-108"/>
        <w:jc w:val="both"/>
        <w:rPr>
          <w:bCs/>
        </w:rPr>
      </w:pPr>
      <w:r w:rsidRPr="009232AE">
        <w:rPr>
          <w:bCs/>
        </w:rPr>
        <w:t>Where,</w:t>
      </w:r>
    </w:p>
    <w:p w:rsidR="00F15536" w:rsidRPr="009232AE" w:rsidRDefault="00F15536" w:rsidP="009232AE">
      <w:pPr>
        <w:tabs>
          <w:tab w:val="left" w:pos="567"/>
        </w:tabs>
        <w:spacing w:line="360" w:lineRule="auto"/>
        <w:ind w:left="558" w:right="-108"/>
        <w:jc w:val="both"/>
        <w:rPr>
          <w:bCs/>
        </w:rPr>
      </w:pPr>
      <w:r w:rsidRPr="009232AE">
        <w:rPr>
          <w:bCs/>
        </w:rPr>
        <w:t>AQ</w:t>
      </w:r>
      <w:r w:rsidRPr="009232AE">
        <w:rPr>
          <w:bCs/>
        </w:rPr>
        <w:tab/>
        <w:t>: Analyst Qualification</w:t>
      </w:r>
    </w:p>
    <w:p w:rsidR="00F15536" w:rsidRPr="009232AE" w:rsidRDefault="00F15536" w:rsidP="009232AE">
      <w:pPr>
        <w:tabs>
          <w:tab w:val="left" w:pos="567"/>
        </w:tabs>
        <w:spacing w:line="360" w:lineRule="auto"/>
        <w:ind w:left="558" w:right="-108"/>
        <w:jc w:val="both"/>
        <w:rPr>
          <w:bCs/>
        </w:rPr>
      </w:pPr>
      <w:r w:rsidRPr="009232AE">
        <w:rPr>
          <w:bCs/>
        </w:rPr>
        <w:t>16</w:t>
      </w:r>
      <w:r w:rsidRPr="009232AE">
        <w:rPr>
          <w:bCs/>
        </w:rPr>
        <w:tab/>
        <w:t>: Current year for 2016 (16 for 2016, 17 for 2017 so on)</w:t>
      </w:r>
    </w:p>
    <w:p w:rsidR="00F15536" w:rsidRPr="009232AE" w:rsidRDefault="00F15536" w:rsidP="009232AE">
      <w:pPr>
        <w:tabs>
          <w:tab w:val="left" w:pos="567"/>
        </w:tabs>
        <w:spacing w:line="360" w:lineRule="auto"/>
        <w:ind w:left="558" w:right="-108"/>
        <w:jc w:val="both"/>
        <w:rPr>
          <w:bCs/>
        </w:rPr>
      </w:pPr>
      <w:r w:rsidRPr="009232AE">
        <w:rPr>
          <w:bCs/>
        </w:rPr>
        <w:t>001</w:t>
      </w:r>
      <w:r w:rsidRPr="009232AE">
        <w:rPr>
          <w:bCs/>
        </w:rPr>
        <w:tab/>
        <w:t>: Serial number</w:t>
      </w:r>
    </w:p>
    <w:p w:rsidR="00F15536" w:rsidRPr="00F15536" w:rsidRDefault="00F15536" w:rsidP="00F15536">
      <w:pPr>
        <w:numPr>
          <w:ilvl w:val="1"/>
          <w:numId w:val="1"/>
        </w:numPr>
        <w:tabs>
          <w:tab w:val="clear" w:pos="720"/>
          <w:tab w:val="left" w:pos="567"/>
          <w:tab w:val="num" w:pos="1125"/>
        </w:tabs>
        <w:spacing w:line="360" w:lineRule="auto"/>
        <w:ind w:left="558" w:right="-108" w:hanging="558"/>
        <w:jc w:val="both"/>
        <w:rPr>
          <w:bCs/>
        </w:rPr>
      </w:pPr>
      <w:r w:rsidRPr="00F15536">
        <w:rPr>
          <w:bCs/>
        </w:rPr>
        <w:t>Head-QC or his designee shall enter the information about sample in the ‘Analyst qualification log’ (</w:t>
      </w:r>
      <w:r w:rsidR="00567EAE" w:rsidRPr="00567EAE">
        <w:rPr>
          <w:bCs/>
        </w:rPr>
        <w:t>QC024-FM060</w:t>
      </w:r>
      <w:r w:rsidRPr="00F15536">
        <w:rPr>
          <w:bCs/>
        </w:rPr>
        <w:t>).</w:t>
      </w:r>
    </w:p>
    <w:p w:rsidR="00F15536" w:rsidRPr="00F15536" w:rsidRDefault="00F15536" w:rsidP="00F15536">
      <w:pPr>
        <w:numPr>
          <w:ilvl w:val="1"/>
          <w:numId w:val="1"/>
        </w:numPr>
        <w:tabs>
          <w:tab w:val="clear" w:pos="720"/>
          <w:tab w:val="left" w:pos="585"/>
          <w:tab w:val="num" w:pos="1125"/>
        </w:tabs>
        <w:spacing w:line="360" w:lineRule="auto"/>
        <w:ind w:left="558" w:right="-108" w:hanging="558"/>
        <w:jc w:val="both"/>
        <w:rPr>
          <w:bCs/>
        </w:rPr>
      </w:pPr>
      <w:r w:rsidRPr="00F15536">
        <w:rPr>
          <w:bCs/>
        </w:rPr>
        <w:t>Number of tests shall be selected based on the job carried out by the particular analyst as per annexure-I.</w:t>
      </w:r>
    </w:p>
    <w:p w:rsidR="00F15536" w:rsidRPr="00F15536" w:rsidRDefault="00F15536" w:rsidP="00F15536">
      <w:pPr>
        <w:numPr>
          <w:ilvl w:val="1"/>
          <w:numId w:val="1"/>
        </w:numPr>
        <w:tabs>
          <w:tab w:val="clear" w:pos="720"/>
          <w:tab w:val="left" w:pos="585"/>
          <w:tab w:val="num" w:pos="1125"/>
        </w:tabs>
        <w:spacing w:line="360" w:lineRule="auto"/>
        <w:ind w:left="558" w:right="-108" w:hanging="558"/>
        <w:jc w:val="both"/>
        <w:rPr>
          <w:bCs/>
        </w:rPr>
      </w:pPr>
      <w:r w:rsidRPr="00F15536">
        <w:rPr>
          <w:bCs/>
        </w:rPr>
        <w:t>The QC analyst shall prepare the sample in duplicate and shall test according to the approved standard test procedure of respective sample.</w:t>
      </w:r>
    </w:p>
    <w:p w:rsidR="00F15536" w:rsidRPr="00F15536" w:rsidRDefault="00F15536" w:rsidP="00F15536">
      <w:pPr>
        <w:numPr>
          <w:ilvl w:val="1"/>
          <w:numId w:val="1"/>
        </w:numPr>
        <w:tabs>
          <w:tab w:val="clear" w:pos="720"/>
          <w:tab w:val="left" w:pos="585"/>
          <w:tab w:val="num" w:pos="1125"/>
        </w:tabs>
        <w:spacing w:line="360" w:lineRule="auto"/>
        <w:ind w:left="558" w:right="-108" w:hanging="558"/>
        <w:jc w:val="both"/>
        <w:rPr>
          <w:bCs/>
        </w:rPr>
      </w:pPr>
      <w:r w:rsidRPr="00F15536">
        <w:rPr>
          <w:bCs/>
        </w:rPr>
        <w:t>The analyst shall complete the testing within seven working days from the date of sample given by the Head-QC or his designee.</w:t>
      </w:r>
    </w:p>
    <w:p w:rsidR="00F15536" w:rsidRPr="00F15536" w:rsidRDefault="00F15536" w:rsidP="00F15536">
      <w:pPr>
        <w:numPr>
          <w:ilvl w:val="1"/>
          <w:numId w:val="1"/>
        </w:numPr>
        <w:tabs>
          <w:tab w:val="clear" w:pos="720"/>
          <w:tab w:val="left" w:pos="585"/>
          <w:tab w:val="num" w:pos="1125"/>
        </w:tabs>
        <w:spacing w:line="360" w:lineRule="auto"/>
        <w:ind w:left="558" w:right="-108" w:hanging="558"/>
        <w:jc w:val="both"/>
        <w:rPr>
          <w:bCs/>
        </w:rPr>
      </w:pPr>
      <w:r w:rsidRPr="00F15536">
        <w:rPr>
          <w:bCs/>
        </w:rPr>
        <w:t>During the analyst qualification analysis, the Head-QC or his designee shall observe the work done by the analyst.</w:t>
      </w:r>
    </w:p>
    <w:p w:rsidR="00F15536" w:rsidRPr="00F15536" w:rsidRDefault="00F15536" w:rsidP="00F15536">
      <w:pPr>
        <w:numPr>
          <w:ilvl w:val="1"/>
          <w:numId w:val="1"/>
        </w:numPr>
        <w:tabs>
          <w:tab w:val="clear" w:pos="720"/>
          <w:tab w:val="left" w:pos="585"/>
          <w:tab w:val="num" w:pos="1125"/>
        </w:tabs>
        <w:spacing w:line="360" w:lineRule="auto"/>
        <w:ind w:left="558" w:right="-108" w:hanging="558"/>
        <w:jc w:val="both"/>
        <w:rPr>
          <w:bCs/>
        </w:rPr>
      </w:pPr>
      <w:r w:rsidRPr="00F15536">
        <w:rPr>
          <w:bCs/>
        </w:rPr>
        <w:t>The analyst shall enter the analysis data in the ‘Analyst qualification-raw data’ (</w:t>
      </w:r>
      <w:r w:rsidR="00567EAE" w:rsidRPr="00567EAE">
        <w:rPr>
          <w:bCs/>
        </w:rPr>
        <w:t>QC024-FM089</w:t>
      </w:r>
      <w:r w:rsidRPr="00F15536">
        <w:rPr>
          <w:bCs/>
        </w:rPr>
        <w:t>) along with chromatograms, strip charts and shall handover to Head- QC or his designee for checking.</w:t>
      </w:r>
    </w:p>
    <w:p w:rsidR="00F15536" w:rsidRPr="00F15536" w:rsidRDefault="00F15536" w:rsidP="00F15536">
      <w:pPr>
        <w:numPr>
          <w:ilvl w:val="1"/>
          <w:numId w:val="1"/>
        </w:numPr>
        <w:tabs>
          <w:tab w:val="clear" w:pos="720"/>
          <w:tab w:val="left" w:pos="585"/>
          <w:tab w:val="num" w:pos="1125"/>
        </w:tabs>
        <w:spacing w:line="360" w:lineRule="auto"/>
        <w:ind w:left="558" w:right="-108" w:hanging="558"/>
        <w:jc w:val="both"/>
        <w:rPr>
          <w:bCs/>
        </w:rPr>
      </w:pPr>
      <w:r w:rsidRPr="00F15536">
        <w:rPr>
          <w:bCs/>
        </w:rPr>
        <w:t>Head-QC or designee shall enter the analyst qualification results along with the original results in the ‘Analyst qualification report’ (</w:t>
      </w:r>
      <w:r w:rsidR="00567EAE" w:rsidRPr="00567EAE">
        <w:rPr>
          <w:bCs/>
        </w:rPr>
        <w:t>QC024-FM059</w:t>
      </w:r>
      <w:r w:rsidRPr="00F15536">
        <w:rPr>
          <w:bCs/>
        </w:rPr>
        <w:t>).</w:t>
      </w:r>
    </w:p>
    <w:p w:rsidR="00F15536" w:rsidRDefault="00F15536" w:rsidP="00F15536">
      <w:pPr>
        <w:numPr>
          <w:ilvl w:val="1"/>
          <w:numId w:val="1"/>
        </w:numPr>
        <w:tabs>
          <w:tab w:val="clear" w:pos="720"/>
          <w:tab w:val="left" w:pos="558"/>
          <w:tab w:val="num" w:pos="1125"/>
        </w:tabs>
        <w:spacing w:line="360" w:lineRule="auto"/>
        <w:ind w:left="558" w:right="-108" w:hanging="558"/>
        <w:jc w:val="both"/>
        <w:rPr>
          <w:bCs/>
        </w:rPr>
      </w:pPr>
      <w:r w:rsidRPr="00F15536">
        <w:rPr>
          <w:bCs/>
        </w:rPr>
        <w:t>The ability of the analyst to perform tests shall be considered satisfactory, if and only if the results reported by the analyst are within the tolerance limi</w:t>
      </w:r>
      <w:r w:rsidR="00EE590D">
        <w:rPr>
          <w:bCs/>
        </w:rPr>
        <w:t>ts as per mentioned in section 5</w:t>
      </w:r>
      <w:r w:rsidRPr="00F15536">
        <w:rPr>
          <w:bCs/>
        </w:rPr>
        <w:t>.25</w:t>
      </w:r>
      <w:r>
        <w:rPr>
          <w:bCs/>
        </w:rPr>
        <w:t>.</w:t>
      </w:r>
    </w:p>
    <w:p w:rsidR="00F30C1E" w:rsidRPr="00F30C1E" w:rsidRDefault="00F30C1E" w:rsidP="00F30C1E">
      <w:pPr>
        <w:numPr>
          <w:ilvl w:val="1"/>
          <w:numId w:val="1"/>
        </w:numPr>
        <w:tabs>
          <w:tab w:val="clear" w:pos="720"/>
          <w:tab w:val="left" w:pos="585"/>
          <w:tab w:val="num" w:pos="1125"/>
        </w:tabs>
        <w:spacing w:line="360" w:lineRule="auto"/>
        <w:ind w:left="558" w:right="-108" w:hanging="558"/>
        <w:jc w:val="both"/>
        <w:rPr>
          <w:bCs/>
        </w:rPr>
      </w:pPr>
      <w:r w:rsidRPr="00F30C1E">
        <w:rPr>
          <w:bCs/>
        </w:rPr>
        <w:t>For water content / loss on drying tests, if the specification limit is ≤ 0.1 %, then the difference of the individual values should be within ±0.03% of the mean value.</w:t>
      </w:r>
    </w:p>
    <w:p w:rsidR="00F30C1E" w:rsidRPr="00F30C1E" w:rsidRDefault="00F30C1E" w:rsidP="00F30C1E">
      <w:pPr>
        <w:numPr>
          <w:ilvl w:val="1"/>
          <w:numId w:val="1"/>
        </w:numPr>
        <w:tabs>
          <w:tab w:val="clear" w:pos="720"/>
          <w:tab w:val="left" w:pos="585"/>
          <w:tab w:val="num" w:pos="1125"/>
        </w:tabs>
        <w:spacing w:line="360" w:lineRule="auto"/>
        <w:ind w:left="558" w:right="-108" w:hanging="558"/>
        <w:jc w:val="both"/>
        <w:rPr>
          <w:bCs/>
        </w:rPr>
      </w:pPr>
      <w:r w:rsidRPr="00F30C1E">
        <w:rPr>
          <w:bCs/>
        </w:rPr>
        <w:t>For tests by IR &amp; UV Spectroscopy, the results should meet the specification limit.</w:t>
      </w:r>
    </w:p>
    <w:p w:rsidR="00F30C1E" w:rsidRPr="00F30C1E" w:rsidRDefault="00F30C1E" w:rsidP="00F30C1E">
      <w:pPr>
        <w:numPr>
          <w:ilvl w:val="1"/>
          <w:numId w:val="1"/>
        </w:numPr>
        <w:tabs>
          <w:tab w:val="clear" w:pos="720"/>
          <w:tab w:val="left" w:pos="585"/>
          <w:tab w:val="num" w:pos="1125"/>
        </w:tabs>
        <w:spacing w:line="360" w:lineRule="auto"/>
        <w:ind w:left="558" w:right="-108" w:hanging="558"/>
        <w:jc w:val="both"/>
        <w:rPr>
          <w:bCs/>
        </w:rPr>
      </w:pPr>
      <w:r w:rsidRPr="00F30C1E">
        <w:rPr>
          <w:bCs/>
        </w:rPr>
        <w:t>If the results are within the acceptance criteria the analyst will be deemed as qualified and capable of performing the regular analysis.</w:t>
      </w:r>
    </w:p>
    <w:p w:rsidR="00F30C1E" w:rsidRPr="00F30C1E" w:rsidRDefault="00F30C1E" w:rsidP="00F30C1E">
      <w:pPr>
        <w:numPr>
          <w:ilvl w:val="1"/>
          <w:numId w:val="1"/>
        </w:numPr>
        <w:tabs>
          <w:tab w:val="clear" w:pos="720"/>
          <w:tab w:val="left" w:pos="585"/>
          <w:tab w:val="num" w:pos="1125"/>
        </w:tabs>
        <w:spacing w:line="360" w:lineRule="auto"/>
        <w:ind w:left="558" w:right="-108" w:hanging="558"/>
        <w:jc w:val="both"/>
        <w:rPr>
          <w:bCs/>
        </w:rPr>
      </w:pPr>
      <w:r w:rsidRPr="00F30C1E">
        <w:rPr>
          <w:bCs/>
        </w:rPr>
        <w:t xml:space="preserve">If the results obtained by the analyst do not meet the acceptance criteria, the analyst shall be explained her/his deficiency/mistake and trained accordingly. In this case analyst shall be re-qualified before deploying on job. HOD of QC </w:t>
      </w:r>
      <w:r w:rsidR="00EE590D">
        <w:rPr>
          <w:bCs/>
        </w:rPr>
        <w:t>/</w:t>
      </w:r>
      <w:r w:rsidRPr="00F30C1E">
        <w:rPr>
          <w:bCs/>
        </w:rPr>
        <w:t xml:space="preserve"> designee shall review the previous analysis data of that analyst. </w:t>
      </w:r>
    </w:p>
    <w:p w:rsidR="00F30C1E" w:rsidRDefault="00F30C1E" w:rsidP="00F30C1E">
      <w:pPr>
        <w:numPr>
          <w:ilvl w:val="1"/>
          <w:numId w:val="1"/>
        </w:numPr>
        <w:tabs>
          <w:tab w:val="clear" w:pos="720"/>
          <w:tab w:val="left" w:pos="585"/>
          <w:tab w:val="num" w:pos="1125"/>
        </w:tabs>
        <w:spacing w:line="360" w:lineRule="auto"/>
        <w:ind w:left="558" w:right="-108" w:hanging="558"/>
        <w:jc w:val="both"/>
        <w:rPr>
          <w:bCs/>
        </w:rPr>
      </w:pPr>
      <w:r w:rsidRPr="00F30C1E">
        <w:rPr>
          <w:bCs/>
        </w:rPr>
        <w:t>During routine operation if any major analyst related error occurs then the analyst shall be re-trained for respective test and re-qualified.</w:t>
      </w:r>
    </w:p>
    <w:p w:rsidR="00F30C1E" w:rsidRPr="00F30C1E" w:rsidRDefault="00F30C1E" w:rsidP="00F30C1E">
      <w:pPr>
        <w:numPr>
          <w:ilvl w:val="1"/>
          <w:numId w:val="1"/>
        </w:numPr>
        <w:tabs>
          <w:tab w:val="clear" w:pos="720"/>
          <w:tab w:val="left" w:pos="585"/>
          <w:tab w:val="num" w:pos="1125"/>
        </w:tabs>
        <w:spacing w:line="360" w:lineRule="auto"/>
        <w:ind w:left="558" w:right="-108" w:hanging="558"/>
        <w:jc w:val="both"/>
        <w:rPr>
          <w:bCs/>
        </w:rPr>
      </w:pPr>
      <w:r w:rsidRPr="002264AF">
        <w:t>Acceptance criteria for tests during analyst qualification</w:t>
      </w:r>
      <w:r>
        <w:t>:</w:t>
      </w:r>
    </w:p>
    <w:tbl>
      <w:tblPr>
        <w:tblW w:w="9042"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47"/>
        <w:gridCol w:w="5371"/>
        <w:gridCol w:w="2624"/>
      </w:tblGrid>
      <w:tr w:rsidR="00D313C4" w:rsidRPr="002264AF" w:rsidTr="00D313C4">
        <w:trPr>
          <w:trHeight w:val="432"/>
        </w:trPr>
        <w:tc>
          <w:tcPr>
            <w:tcW w:w="1047" w:type="dxa"/>
            <w:vAlign w:val="center"/>
          </w:tcPr>
          <w:p w:rsidR="00D313C4" w:rsidRPr="002264AF" w:rsidRDefault="00D313C4" w:rsidP="000F00E4">
            <w:pPr>
              <w:autoSpaceDE w:val="0"/>
              <w:autoSpaceDN w:val="0"/>
              <w:adjustRightInd w:val="0"/>
              <w:ind w:left="180"/>
              <w:jc w:val="center"/>
              <w:rPr>
                <w:b/>
              </w:rPr>
            </w:pPr>
            <w:r w:rsidRPr="002264AF">
              <w:rPr>
                <w:b/>
              </w:rPr>
              <w:t>S.</w:t>
            </w:r>
            <w:r>
              <w:rPr>
                <w:b/>
              </w:rPr>
              <w:t xml:space="preserve"> </w:t>
            </w:r>
            <w:r w:rsidRPr="002264AF">
              <w:rPr>
                <w:b/>
              </w:rPr>
              <w:t>No</w:t>
            </w:r>
          </w:p>
        </w:tc>
        <w:tc>
          <w:tcPr>
            <w:tcW w:w="5371" w:type="dxa"/>
            <w:vAlign w:val="center"/>
          </w:tcPr>
          <w:p w:rsidR="00D313C4" w:rsidRPr="002264AF" w:rsidRDefault="00D313C4" w:rsidP="000F00E4">
            <w:pPr>
              <w:autoSpaceDE w:val="0"/>
              <w:autoSpaceDN w:val="0"/>
              <w:adjustRightInd w:val="0"/>
              <w:jc w:val="center"/>
              <w:rPr>
                <w:b/>
              </w:rPr>
            </w:pPr>
            <w:r w:rsidRPr="002264AF">
              <w:rPr>
                <w:b/>
              </w:rPr>
              <w:t>Test name</w:t>
            </w:r>
          </w:p>
        </w:tc>
        <w:tc>
          <w:tcPr>
            <w:tcW w:w="2624" w:type="dxa"/>
            <w:vAlign w:val="center"/>
          </w:tcPr>
          <w:p w:rsidR="00D313C4" w:rsidRPr="002264AF" w:rsidRDefault="00D313C4" w:rsidP="000F00E4">
            <w:pPr>
              <w:autoSpaceDE w:val="0"/>
              <w:autoSpaceDN w:val="0"/>
              <w:adjustRightInd w:val="0"/>
              <w:ind w:left="-108" w:right="-108"/>
              <w:jc w:val="center"/>
              <w:rPr>
                <w:b/>
              </w:rPr>
            </w:pPr>
            <w:r w:rsidRPr="002264AF">
              <w:rPr>
                <w:b/>
              </w:rPr>
              <w:t>Tolerance Limits</w:t>
            </w:r>
          </w:p>
          <w:p w:rsidR="00D313C4" w:rsidRPr="002264AF" w:rsidRDefault="00D313C4" w:rsidP="000F00E4">
            <w:pPr>
              <w:autoSpaceDE w:val="0"/>
              <w:autoSpaceDN w:val="0"/>
              <w:adjustRightInd w:val="0"/>
              <w:ind w:left="-108" w:right="-108"/>
              <w:jc w:val="center"/>
            </w:pPr>
            <w:r w:rsidRPr="002264AF">
              <w:rPr>
                <w:b/>
              </w:rPr>
              <w:t>(On the original value)</w:t>
            </w:r>
          </w:p>
        </w:tc>
      </w:tr>
      <w:tr w:rsidR="00D313C4" w:rsidRPr="002264AF" w:rsidTr="00D313C4">
        <w:trPr>
          <w:trHeight w:val="432"/>
        </w:trPr>
        <w:tc>
          <w:tcPr>
            <w:tcW w:w="1047" w:type="dxa"/>
            <w:vAlign w:val="center"/>
          </w:tcPr>
          <w:p w:rsidR="00D313C4" w:rsidRPr="002264AF" w:rsidRDefault="00D313C4" w:rsidP="00D313C4">
            <w:pPr>
              <w:numPr>
                <w:ilvl w:val="0"/>
                <w:numId w:val="6"/>
              </w:numPr>
              <w:autoSpaceDE w:val="0"/>
              <w:autoSpaceDN w:val="0"/>
              <w:adjustRightInd w:val="0"/>
              <w:ind w:left="72"/>
              <w:jc w:val="center"/>
            </w:pPr>
          </w:p>
        </w:tc>
        <w:tc>
          <w:tcPr>
            <w:tcW w:w="5371" w:type="dxa"/>
            <w:vAlign w:val="center"/>
          </w:tcPr>
          <w:p w:rsidR="00D313C4" w:rsidRPr="002264AF" w:rsidRDefault="00D313C4" w:rsidP="000F00E4">
            <w:pPr>
              <w:autoSpaceDE w:val="0"/>
              <w:autoSpaceDN w:val="0"/>
              <w:adjustRightInd w:val="0"/>
            </w:pPr>
            <w:r w:rsidRPr="002264AF">
              <w:t xml:space="preserve">For Assay (by HPLC or </w:t>
            </w:r>
            <w:r w:rsidRPr="00F4784E">
              <w:t>titrimetric</w:t>
            </w:r>
            <w:r w:rsidRPr="002264AF">
              <w:t>)(% w/w)</w:t>
            </w:r>
          </w:p>
        </w:tc>
        <w:tc>
          <w:tcPr>
            <w:tcW w:w="2624" w:type="dxa"/>
            <w:vAlign w:val="center"/>
          </w:tcPr>
          <w:p w:rsidR="00D313C4" w:rsidRPr="002264AF" w:rsidRDefault="00D313C4" w:rsidP="000F00E4">
            <w:pPr>
              <w:autoSpaceDE w:val="0"/>
              <w:autoSpaceDN w:val="0"/>
              <w:adjustRightInd w:val="0"/>
              <w:jc w:val="center"/>
            </w:pPr>
            <w:r w:rsidRPr="002264AF">
              <w:t>± 0.5</w:t>
            </w:r>
          </w:p>
        </w:tc>
      </w:tr>
    </w:tbl>
    <w:p w:rsidR="00D313C4" w:rsidRDefault="00D313C4"/>
    <w:p w:rsidR="00D313C4" w:rsidRDefault="00D313C4"/>
    <w:tbl>
      <w:tblPr>
        <w:tblW w:w="9042"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47"/>
        <w:gridCol w:w="5371"/>
        <w:gridCol w:w="2624"/>
      </w:tblGrid>
      <w:tr w:rsidR="00D313C4" w:rsidRPr="002264AF" w:rsidTr="000F00E4">
        <w:trPr>
          <w:trHeight w:val="432"/>
        </w:trPr>
        <w:tc>
          <w:tcPr>
            <w:tcW w:w="1047" w:type="dxa"/>
            <w:vAlign w:val="center"/>
          </w:tcPr>
          <w:p w:rsidR="00D313C4" w:rsidRPr="002264AF" w:rsidRDefault="00D313C4" w:rsidP="000F00E4">
            <w:pPr>
              <w:autoSpaceDE w:val="0"/>
              <w:autoSpaceDN w:val="0"/>
              <w:adjustRightInd w:val="0"/>
              <w:ind w:left="180"/>
              <w:jc w:val="center"/>
              <w:rPr>
                <w:b/>
              </w:rPr>
            </w:pPr>
            <w:r w:rsidRPr="002264AF">
              <w:rPr>
                <w:b/>
              </w:rPr>
              <w:t>S.</w:t>
            </w:r>
            <w:r>
              <w:rPr>
                <w:b/>
              </w:rPr>
              <w:t xml:space="preserve"> </w:t>
            </w:r>
            <w:r w:rsidRPr="002264AF">
              <w:rPr>
                <w:b/>
              </w:rPr>
              <w:t>No</w:t>
            </w:r>
          </w:p>
        </w:tc>
        <w:tc>
          <w:tcPr>
            <w:tcW w:w="5371" w:type="dxa"/>
            <w:vAlign w:val="center"/>
          </w:tcPr>
          <w:p w:rsidR="00D313C4" w:rsidRPr="002264AF" w:rsidRDefault="00D313C4" w:rsidP="000F00E4">
            <w:pPr>
              <w:autoSpaceDE w:val="0"/>
              <w:autoSpaceDN w:val="0"/>
              <w:adjustRightInd w:val="0"/>
              <w:jc w:val="center"/>
              <w:rPr>
                <w:b/>
              </w:rPr>
            </w:pPr>
            <w:r w:rsidRPr="002264AF">
              <w:rPr>
                <w:b/>
              </w:rPr>
              <w:t>Test name</w:t>
            </w:r>
          </w:p>
        </w:tc>
        <w:tc>
          <w:tcPr>
            <w:tcW w:w="2624" w:type="dxa"/>
            <w:vAlign w:val="center"/>
          </w:tcPr>
          <w:p w:rsidR="00D313C4" w:rsidRPr="002264AF" w:rsidRDefault="00D313C4" w:rsidP="000F00E4">
            <w:pPr>
              <w:autoSpaceDE w:val="0"/>
              <w:autoSpaceDN w:val="0"/>
              <w:adjustRightInd w:val="0"/>
              <w:ind w:left="-108" w:right="-108"/>
              <w:jc w:val="center"/>
              <w:rPr>
                <w:b/>
              </w:rPr>
            </w:pPr>
            <w:r w:rsidRPr="002264AF">
              <w:rPr>
                <w:b/>
              </w:rPr>
              <w:t>Tolerance Limits</w:t>
            </w:r>
          </w:p>
          <w:p w:rsidR="00D313C4" w:rsidRPr="002264AF" w:rsidRDefault="00D313C4" w:rsidP="000F00E4">
            <w:pPr>
              <w:autoSpaceDE w:val="0"/>
              <w:autoSpaceDN w:val="0"/>
              <w:adjustRightInd w:val="0"/>
              <w:ind w:left="-108" w:right="-108"/>
              <w:jc w:val="center"/>
            </w:pPr>
            <w:r w:rsidRPr="002264AF">
              <w:rPr>
                <w:b/>
              </w:rPr>
              <w:t>(On the original value)</w:t>
            </w:r>
          </w:p>
        </w:tc>
      </w:tr>
      <w:tr w:rsidR="00D313C4" w:rsidRPr="002264AF" w:rsidTr="00D313C4">
        <w:trPr>
          <w:trHeight w:val="374"/>
        </w:trPr>
        <w:tc>
          <w:tcPr>
            <w:tcW w:w="1047" w:type="dxa"/>
            <w:vAlign w:val="center"/>
          </w:tcPr>
          <w:p w:rsidR="00D313C4" w:rsidRPr="002264AF" w:rsidRDefault="00D313C4" w:rsidP="00D313C4">
            <w:pPr>
              <w:numPr>
                <w:ilvl w:val="0"/>
                <w:numId w:val="6"/>
              </w:numPr>
              <w:autoSpaceDE w:val="0"/>
              <w:autoSpaceDN w:val="0"/>
              <w:adjustRightInd w:val="0"/>
              <w:ind w:left="72"/>
              <w:jc w:val="center"/>
            </w:pPr>
          </w:p>
        </w:tc>
        <w:tc>
          <w:tcPr>
            <w:tcW w:w="7995" w:type="dxa"/>
            <w:gridSpan w:val="2"/>
            <w:vAlign w:val="center"/>
          </w:tcPr>
          <w:p w:rsidR="00D313C4" w:rsidRPr="002264AF" w:rsidRDefault="00D313C4" w:rsidP="000F00E4">
            <w:pPr>
              <w:autoSpaceDE w:val="0"/>
              <w:autoSpaceDN w:val="0"/>
              <w:adjustRightInd w:val="0"/>
            </w:pPr>
            <w:r w:rsidRPr="002264AF">
              <w:t>For Related substances by HPLC (% w/w or % area)</w:t>
            </w:r>
          </w:p>
        </w:tc>
      </w:tr>
      <w:tr w:rsidR="00D313C4" w:rsidRPr="002264AF" w:rsidTr="00D313C4">
        <w:trPr>
          <w:trHeight w:val="374"/>
        </w:trPr>
        <w:tc>
          <w:tcPr>
            <w:tcW w:w="1047" w:type="dxa"/>
            <w:vAlign w:val="center"/>
          </w:tcPr>
          <w:p w:rsidR="00D313C4" w:rsidRPr="002264AF" w:rsidRDefault="00D313C4" w:rsidP="000F00E4">
            <w:pPr>
              <w:autoSpaceDE w:val="0"/>
              <w:autoSpaceDN w:val="0"/>
              <w:adjustRightInd w:val="0"/>
              <w:jc w:val="center"/>
            </w:pPr>
            <w:r>
              <w:t>2.1</w:t>
            </w:r>
          </w:p>
        </w:tc>
        <w:tc>
          <w:tcPr>
            <w:tcW w:w="5371" w:type="dxa"/>
          </w:tcPr>
          <w:p w:rsidR="00D313C4" w:rsidRPr="002264AF" w:rsidRDefault="00D313C4" w:rsidP="000F00E4">
            <w:pPr>
              <w:autoSpaceDE w:val="0"/>
              <w:autoSpaceDN w:val="0"/>
              <w:adjustRightInd w:val="0"/>
            </w:pPr>
            <w:r w:rsidRPr="002264AF">
              <w:t xml:space="preserve">Individual impurity(% w/w or % area)  </w:t>
            </w:r>
          </w:p>
          <w:p w:rsidR="00D313C4" w:rsidRPr="002264AF" w:rsidRDefault="00D313C4" w:rsidP="000F00E4">
            <w:pPr>
              <w:autoSpaceDE w:val="0"/>
              <w:autoSpaceDN w:val="0"/>
              <w:adjustRightInd w:val="0"/>
            </w:pPr>
            <w:r w:rsidRPr="002264AF">
              <w:t>(if specification limit is ≤ 0.05)</w:t>
            </w:r>
          </w:p>
        </w:tc>
        <w:tc>
          <w:tcPr>
            <w:tcW w:w="2624" w:type="dxa"/>
            <w:vAlign w:val="center"/>
          </w:tcPr>
          <w:p w:rsidR="00D313C4" w:rsidRPr="002264AF" w:rsidRDefault="00D313C4" w:rsidP="000F00E4">
            <w:pPr>
              <w:tabs>
                <w:tab w:val="left" w:pos="1080"/>
                <w:tab w:val="left" w:pos="4860"/>
                <w:tab w:val="left" w:pos="5130"/>
              </w:tabs>
              <w:spacing w:before="60" w:after="60"/>
              <w:jc w:val="center"/>
            </w:pPr>
            <w:r>
              <w:t>±</w:t>
            </w:r>
            <w:r w:rsidRPr="002264AF">
              <w:t>0.01</w:t>
            </w:r>
          </w:p>
        </w:tc>
      </w:tr>
      <w:tr w:rsidR="00D313C4" w:rsidRPr="002264AF" w:rsidTr="00D313C4">
        <w:trPr>
          <w:trHeight w:val="374"/>
        </w:trPr>
        <w:tc>
          <w:tcPr>
            <w:tcW w:w="1047" w:type="dxa"/>
            <w:vAlign w:val="center"/>
          </w:tcPr>
          <w:p w:rsidR="00D313C4" w:rsidRPr="002264AF" w:rsidRDefault="00D313C4" w:rsidP="000F00E4">
            <w:pPr>
              <w:autoSpaceDE w:val="0"/>
              <w:autoSpaceDN w:val="0"/>
              <w:adjustRightInd w:val="0"/>
              <w:jc w:val="center"/>
            </w:pPr>
            <w:r>
              <w:t>2.2</w:t>
            </w:r>
          </w:p>
        </w:tc>
        <w:tc>
          <w:tcPr>
            <w:tcW w:w="5371" w:type="dxa"/>
          </w:tcPr>
          <w:p w:rsidR="00D313C4" w:rsidRPr="002264AF" w:rsidRDefault="00D313C4" w:rsidP="000F00E4">
            <w:pPr>
              <w:autoSpaceDE w:val="0"/>
              <w:autoSpaceDN w:val="0"/>
              <w:adjustRightInd w:val="0"/>
            </w:pPr>
            <w:r>
              <w:t>I</w:t>
            </w:r>
            <w:r w:rsidRPr="002264AF">
              <w:t xml:space="preserve">ndividual impurity(% w/w or % area) </w:t>
            </w:r>
          </w:p>
          <w:p w:rsidR="00D313C4" w:rsidRPr="002264AF" w:rsidRDefault="00D313C4" w:rsidP="000F00E4">
            <w:pPr>
              <w:autoSpaceDE w:val="0"/>
              <w:autoSpaceDN w:val="0"/>
              <w:adjustRightInd w:val="0"/>
            </w:pPr>
            <w:r w:rsidRPr="002264AF">
              <w:t>(if specification limit is &gt; 0.05 to ≤ 0.10)</w:t>
            </w:r>
          </w:p>
        </w:tc>
        <w:tc>
          <w:tcPr>
            <w:tcW w:w="2624" w:type="dxa"/>
            <w:vAlign w:val="center"/>
          </w:tcPr>
          <w:p w:rsidR="00D313C4" w:rsidRPr="002264AF" w:rsidRDefault="00D313C4" w:rsidP="000F00E4">
            <w:pPr>
              <w:tabs>
                <w:tab w:val="left" w:pos="1080"/>
                <w:tab w:val="left" w:pos="4860"/>
                <w:tab w:val="left" w:pos="5130"/>
              </w:tabs>
              <w:spacing w:before="60" w:after="60"/>
              <w:jc w:val="center"/>
            </w:pPr>
            <w:r w:rsidRPr="002264AF">
              <w:t>±0.02</w:t>
            </w:r>
          </w:p>
        </w:tc>
      </w:tr>
      <w:tr w:rsidR="00D313C4" w:rsidRPr="002264AF" w:rsidTr="00D313C4">
        <w:trPr>
          <w:trHeight w:val="374"/>
        </w:trPr>
        <w:tc>
          <w:tcPr>
            <w:tcW w:w="1047" w:type="dxa"/>
            <w:vAlign w:val="center"/>
          </w:tcPr>
          <w:p w:rsidR="00D313C4" w:rsidRPr="002264AF" w:rsidRDefault="00D313C4" w:rsidP="000F00E4">
            <w:pPr>
              <w:autoSpaceDE w:val="0"/>
              <w:autoSpaceDN w:val="0"/>
              <w:adjustRightInd w:val="0"/>
              <w:jc w:val="center"/>
            </w:pPr>
            <w:r>
              <w:t>2.3</w:t>
            </w:r>
          </w:p>
        </w:tc>
        <w:tc>
          <w:tcPr>
            <w:tcW w:w="5371" w:type="dxa"/>
          </w:tcPr>
          <w:p w:rsidR="00D313C4" w:rsidRPr="002264AF" w:rsidRDefault="00D313C4" w:rsidP="000F00E4">
            <w:pPr>
              <w:autoSpaceDE w:val="0"/>
              <w:autoSpaceDN w:val="0"/>
              <w:adjustRightInd w:val="0"/>
            </w:pPr>
            <w:r>
              <w:t>I</w:t>
            </w:r>
            <w:r w:rsidRPr="002264AF">
              <w:t>ndividual impurity(% w/w or % area)</w:t>
            </w:r>
          </w:p>
          <w:p w:rsidR="00D313C4" w:rsidRPr="002264AF" w:rsidRDefault="00D313C4" w:rsidP="000F00E4">
            <w:pPr>
              <w:autoSpaceDE w:val="0"/>
              <w:autoSpaceDN w:val="0"/>
              <w:adjustRightInd w:val="0"/>
            </w:pPr>
            <w:r w:rsidRPr="002264AF">
              <w:t>(if specification limit is &gt; 0.10 to &lt;0.50)</w:t>
            </w:r>
          </w:p>
        </w:tc>
        <w:tc>
          <w:tcPr>
            <w:tcW w:w="2624" w:type="dxa"/>
            <w:vAlign w:val="center"/>
          </w:tcPr>
          <w:p w:rsidR="00D313C4" w:rsidRPr="002264AF" w:rsidRDefault="00D313C4" w:rsidP="000F00E4">
            <w:pPr>
              <w:tabs>
                <w:tab w:val="left" w:pos="1080"/>
                <w:tab w:val="left" w:pos="4860"/>
                <w:tab w:val="left" w:pos="5130"/>
              </w:tabs>
              <w:jc w:val="center"/>
            </w:pPr>
            <w:r w:rsidRPr="002264AF">
              <w:t>±0.03</w:t>
            </w:r>
          </w:p>
        </w:tc>
      </w:tr>
      <w:tr w:rsidR="00D313C4" w:rsidRPr="002264AF" w:rsidTr="00D313C4">
        <w:trPr>
          <w:trHeight w:val="374"/>
        </w:trPr>
        <w:tc>
          <w:tcPr>
            <w:tcW w:w="1047" w:type="dxa"/>
            <w:vAlign w:val="center"/>
          </w:tcPr>
          <w:p w:rsidR="00D313C4" w:rsidRPr="002264AF" w:rsidRDefault="00D313C4" w:rsidP="000F00E4">
            <w:pPr>
              <w:autoSpaceDE w:val="0"/>
              <w:autoSpaceDN w:val="0"/>
              <w:adjustRightInd w:val="0"/>
            </w:pPr>
            <w:r>
              <w:t xml:space="preserve">     2.4</w:t>
            </w:r>
          </w:p>
        </w:tc>
        <w:tc>
          <w:tcPr>
            <w:tcW w:w="5371" w:type="dxa"/>
            <w:vAlign w:val="center"/>
          </w:tcPr>
          <w:p w:rsidR="00D313C4" w:rsidRPr="002264AF" w:rsidRDefault="00D313C4" w:rsidP="000F00E4">
            <w:pPr>
              <w:autoSpaceDE w:val="0"/>
              <w:autoSpaceDN w:val="0"/>
              <w:adjustRightInd w:val="0"/>
            </w:pPr>
            <w:r>
              <w:t>I</w:t>
            </w:r>
            <w:r w:rsidRPr="002264AF">
              <w:t>ndividual impurity(% w/w or % area)</w:t>
            </w:r>
          </w:p>
          <w:p w:rsidR="00D313C4" w:rsidRPr="002264AF" w:rsidRDefault="00D313C4" w:rsidP="000F00E4">
            <w:pPr>
              <w:autoSpaceDE w:val="0"/>
              <w:autoSpaceDN w:val="0"/>
              <w:adjustRightInd w:val="0"/>
            </w:pPr>
            <w:r w:rsidRPr="002264AF">
              <w:t>(if specification limit is ≥0.50)</w:t>
            </w:r>
          </w:p>
        </w:tc>
        <w:tc>
          <w:tcPr>
            <w:tcW w:w="2624" w:type="dxa"/>
            <w:vAlign w:val="center"/>
          </w:tcPr>
          <w:p w:rsidR="00D313C4" w:rsidRPr="002264AF" w:rsidRDefault="00D313C4" w:rsidP="000F00E4">
            <w:pPr>
              <w:tabs>
                <w:tab w:val="left" w:pos="1080"/>
                <w:tab w:val="left" w:pos="4860"/>
                <w:tab w:val="left" w:pos="5130"/>
              </w:tabs>
              <w:jc w:val="center"/>
            </w:pPr>
            <w:r w:rsidRPr="002264AF">
              <w:t>±0.10</w:t>
            </w:r>
          </w:p>
        </w:tc>
      </w:tr>
      <w:tr w:rsidR="00D313C4" w:rsidRPr="002264AF" w:rsidTr="00D313C4">
        <w:trPr>
          <w:trHeight w:val="374"/>
        </w:trPr>
        <w:tc>
          <w:tcPr>
            <w:tcW w:w="1047" w:type="dxa"/>
            <w:vAlign w:val="center"/>
          </w:tcPr>
          <w:p w:rsidR="00D313C4" w:rsidRPr="002264AF" w:rsidRDefault="00D313C4" w:rsidP="000F00E4">
            <w:pPr>
              <w:autoSpaceDE w:val="0"/>
              <w:autoSpaceDN w:val="0"/>
              <w:adjustRightInd w:val="0"/>
            </w:pPr>
            <w:r>
              <w:t xml:space="preserve">   2.5</w:t>
            </w:r>
          </w:p>
        </w:tc>
        <w:tc>
          <w:tcPr>
            <w:tcW w:w="5371" w:type="dxa"/>
            <w:vAlign w:val="center"/>
          </w:tcPr>
          <w:p w:rsidR="00D313C4" w:rsidRPr="002264AF" w:rsidRDefault="00D313C4" w:rsidP="000F00E4">
            <w:pPr>
              <w:autoSpaceDE w:val="0"/>
              <w:autoSpaceDN w:val="0"/>
              <w:adjustRightInd w:val="0"/>
            </w:pPr>
            <w:r w:rsidRPr="002264AF">
              <w:t>Total impurities(% w/w or % area)</w:t>
            </w:r>
          </w:p>
          <w:p w:rsidR="00D313C4" w:rsidRPr="002264AF" w:rsidRDefault="00D313C4" w:rsidP="000F00E4">
            <w:pPr>
              <w:autoSpaceDE w:val="0"/>
              <w:autoSpaceDN w:val="0"/>
              <w:adjustRightInd w:val="0"/>
            </w:pPr>
            <w:r w:rsidRPr="002264AF">
              <w:t>(If specification limit is &gt;0.10% to &lt;0.50%)</w:t>
            </w:r>
          </w:p>
        </w:tc>
        <w:tc>
          <w:tcPr>
            <w:tcW w:w="2624" w:type="dxa"/>
            <w:vAlign w:val="center"/>
          </w:tcPr>
          <w:p w:rsidR="00D313C4" w:rsidRPr="002264AF" w:rsidRDefault="00D313C4" w:rsidP="000F00E4">
            <w:pPr>
              <w:tabs>
                <w:tab w:val="left" w:pos="1080"/>
                <w:tab w:val="left" w:pos="4860"/>
                <w:tab w:val="left" w:pos="5130"/>
              </w:tabs>
              <w:jc w:val="center"/>
            </w:pPr>
            <w:r w:rsidRPr="002264AF">
              <w:t>±0.03</w:t>
            </w:r>
          </w:p>
        </w:tc>
      </w:tr>
      <w:tr w:rsidR="00D313C4" w:rsidRPr="002264AF" w:rsidTr="00D313C4">
        <w:trPr>
          <w:trHeight w:val="374"/>
        </w:trPr>
        <w:tc>
          <w:tcPr>
            <w:tcW w:w="1047" w:type="dxa"/>
            <w:vAlign w:val="center"/>
          </w:tcPr>
          <w:p w:rsidR="00D313C4" w:rsidRPr="002264AF" w:rsidRDefault="00D313C4" w:rsidP="000F00E4">
            <w:pPr>
              <w:autoSpaceDE w:val="0"/>
              <w:autoSpaceDN w:val="0"/>
              <w:adjustRightInd w:val="0"/>
            </w:pPr>
            <w:r>
              <w:t xml:space="preserve">   2.6</w:t>
            </w:r>
          </w:p>
        </w:tc>
        <w:tc>
          <w:tcPr>
            <w:tcW w:w="5371" w:type="dxa"/>
            <w:vAlign w:val="center"/>
          </w:tcPr>
          <w:p w:rsidR="00D313C4" w:rsidRPr="002264AF" w:rsidRDefault="00D313C4" w:rsidP="000F00E4">
            <w:pPr>
              <w:autoSpaceDE w:val="0"/>
              <w:autoSpaceDN w:val="0"/>
              <w:adjustRightInd w:val="0"/>
            </w:pPr>
            <w:r w:rsidRPr="002264AF">
              <w:t>Total impurities(% w/w or % area)</w:t>
            </w:r>
          </w:p>
          <w:p w:rsidR="00D313C4" w:rsidRPr="002264AF" w:rsidRDefault="00D313C4" w:rsidP="000F00E4">
            <w:pPr>
              <w:autoSpaceDE w:val="0"/>
              <w:autoSpaceDN w:val="0"/>
              <w:adjustRightInd w:val="0"/>
            </w:pPr>
            <w:r w:rsidRPr="002264AF">
              <w:t>(If specification limit is ≥ 0.50% to ≤1.0%)</w:t>
            </w:r>
          </w:p>
        </w:tc>
        <w:tc>
          <w:tcPr>
            <w:tcW w:w="2624" w:type="dxa"/>
            <w:vAlign w:val="center"/>
          </w:tcPr>
          <w:p w:rsidR="00D313C4" w:rsidRPr="002264AF" w:rsidRDefault="00D313C4" w:rsidP="000F00E4">
            <w:pPr>
              <w:tabs>
                <w:tab w:val="left" w:pos="1080"/>
                <w:tab w:val="left" w:pos="4860"/>
                <w:tab w:val="left" w:pos="5130"/>
              </w:tabs>
              <w:jc w:val="center"/>
            </w:pPr>
            <w:r w:rsidRPr="002264AF">
              <w:t>±0.10</w:t>
            </w:r>
          </w:p>
        </w:tc>
      </w:tr>
      <w:tr w:rsidR="00D313C4" w:rsidRPr="002264AF" w:rsidTr="00D313C4">
        <w:trPr>
          <w:trHeight w:val="374"/>
        </w:trPr>
        <w:tc>
          <w:tcPr>
            <w:tcW w:w="1047" w:type="dxa"/>
            <w:vAlign w:val="center"/>
          </w:tcPr>
          <w:p w:rsidR="00D313C4" w:rsidRPr="002264AF" w:rsidRDefault="00D313C4" w:rsidP="000F00E4">
            <w:pPr>
              <w:autoSpaceDE w:val="0"/>
              <w:autoSpaceDN w:val="0"/>
              <w:adjustRightInd w:val="0"/>
            </w:pPr>
            <w:r>
              <w:t xml:space="preserve">   2.7</w:t>
            </w:r>
          </w:p>
        </w:tc>
        <w:tc>
          <w:tcPr>
            <w:tcW w:w="5371" w:type="dxa"/>
            <w:vAlign w:val="center"/>
          </w:tcPr>
          <w:p w:rsidR="00D313C4" w:rsidRPr="002264AF" w:rsidRDefault="00D313C4" w:rsidP="000F00E4">
            <w:pPr>
              <w:autoSpaceDE w:val="0"/>
              <w:autoSpaceDN w:val="0"/>
              <w:adjustRightInd w:val="0"/>
            </w:pPr>
            <w:r w:rsidRPr="002264AF">
              <w:t>Total impurities(% w/w or % area)</w:t>
            </w:r>
          </w:p>
          <w:p w:rsidR="00D313C4" w:rsidRPr="002264AF" w:rsidRDefault="00D313C4" w:rsidP="000F00E4">
            <w:pPr>
              <w:autoSpaceDE w:val="0"/>
              <w:autoSpaceDN w:val="0"/>
              <w:adjustRightInd w:val="0"/>
            </w:pPr>
            <w:r w:rsidRPr="002264AF">
              <w:t>(If specification limit is ≥ 1.0%)</w:t>
            </w:r>
          </w:p>
        </w:tc>
        <w:tc>
          <w:tcPr>
            <w:tcW w:w="2624" w:type="dxa"/>
            <w:vAlign w:val="center"/>
          </w:tcPr>
          <w:p w:rsidR="00D313C4" w:rsidRPr="002264AF" w:rsidRDefault="00D313C4" w:rsidP="000F00E4">
            <w:pPr>
              <w:tabs>
                <w:tab w:val="left" w:pos="1080"/>
                <w:tab w:val="left" w:pos="4860"/>
                <w:tab w:val="left" w:pos="5130"/>
              </w:tabs>
              <w:jc w:val="center"/>
            </w:pPr>
            <w:r w:rsidRPr="002264AF">
              <w:t>±0.20</w:t>
            </w:r>
          </w:p>
        </w:tc>
      </w:tr>
      <w:tr w:rsidR="00D313C4" w:rsidRPr="002264AF" w:rsidTr="00D313C4">
        <w:trPr>
          <w:trHeight w:val="346"/>
        </w:trPr>
        <w:tc>
          <w:tcPr>
            <w:tcW w:w="1047" w:type="dxa"/>
            <w:vAlign w:val="center"/>
          </w:tcPr>
          <w:p w:rsidR="00D313C4" w:rsidRPr="002264AF" w:rsidRDefault="00D313C4" w:rsidP="00D313C4">
            <w:pPr>
              <w:numPr>
                <w:ilvl w:val="0"/>
                <w:numId w:val="6"/>
              </w:numPr>
              <w:autoSpaceDE w:val="0"/>
              <w:autoSpaceDN w:val="0"/>
              <w:adjustRightInd w:val="0"/>
              <w:ind w:left="72"/>
              <w:jc w:val="center"/>
            </w:pPr>
            <w:r>
              <w:t>.0</w:t>
            </w:r>
          </w:p>
        </w:tc>
        <w:tc>
          <w:tcPr>
            <w:tcW w:w="7995" w:type="dxa"/>
            <w:gridSpan w:val="2"/>
            <w:vAlign w:val="center"/>
          </w:tcPr>
          <w:p w:rsidR="00D313C4" w:rsidRPr="002264AF" w:rsidRDefault="00D313C4" w:rsidP="000F00E4">
            <w:pPr>
              <w:autoSpaceDE w:val="0"/>
              <w:autoSpaceDN w:val="0"/>
              <w:adjustRightInd w:val="0"/>
              <w:rPr>
                <w:b/>
              </w:rPr>
            </w:pPr>
            <w:r w:rsidRPr="002264AF">
              <w:t>Residual solvents by GC</w:t>
            </w:r>
          </w:p>
        </w:tc>
      </w:tr>
      <w:tr w:rsidR="00D313C4" w:rsidRPr="002264AF" w:rsidTr="00D313C4">
        <w:trPr>
          <w:trHeight w:val="346"/>
        </w:trPr>
        <w:tc>
          <w:tcPr>
            <w:tcW w:w="1047" w:type="dxa"/>
            <w:vAlign w:val="center"/>
          </w:tcPr>
          <w:p w:rsidR="00D313C4" w:rsidRPr="002264AF" w:rsidRDefault="00D313C4" w:rsidP="000F00E4">
            <w:pPr>
              <w:autoSpaceDE w:val="0"/>
              <w:autoSpaceDN w:val="0"/>
              <w:adjustRightInd w:val="0"/>
            </w:pPr>
            <w:r>
              <w:t xml:space="preserve">    3.1</w:t>
            </w:r>
          </w:p>
        </w:tc>
        <w:tc>
          <w:tcPr>
            <w:tcW w:w="5371" w:type="dxa"/>
            <w:vAlign w:val="center"/>
          </w:tcPr>
          <w:p w:rsidR="00D313C4" w:rsidRPr="002264AF" w:rsidRDefault="00D313C4" w:rsidP="000F00E4">
            <w:pPr>
              <w:autoSpaceDE w:val="0"/>
              <w:autoSpaceDN w:val="0"/>
              <w:adjustRightInd w:val="0"/>
              <w:spacing w:before="60" w:after="60"/>
            </w:pPr>
            <w:r w:rsidRPr="002264AF">
              <w:t>If specification limit is less than 100 ppm</w:t>
            </w:r>
          </w:p>
        </w:tc>
        <w:tc>
          <w:tcPr>
            <w:tcW w:w="2624" w:type="dxa"/>
            <w:vAlign w:val="center"/>
          </w:tcPr>
          <w:p w:rsidR="00D313C4" w:rsidRPr="002264AF" w:rsidRDefault="00D313C4" w:rsidP="000F00E4">
            <w:pPr>
              <w:autoSpaceDE w:val="0"/>
              <w:autoSpaceDN w:val="0"/>
              <w:adjustRightInd w:val="0"/>
              <w:jc w:val="center"/>
            </w:pPr>
            <w:r w:rsidRPr="002264AF">
              <w:t>± 20 %</w:t>
            </w:r>
          </w:p>
        </w:tc>
      </w:tr>
      <w:tr w:rsidR="00D313C4" w:rsidRPr="002264AF" w:rsidTr="00D313C4">
        <w:trPr>
          <w:trHeight w:val="346"/>
        </w:trPr>
        <w:tc>
          <w:tcPr>
            <w:tcW w:w="1047" w:type="dxa"/>
            <w:vAlign w:val="center"/>
          </w:tcPr>
          <w:p w:rsidR="00D313C4" w:rsidRPr="002264AF" w:rsidRDefault="00D313C4" w:rsidP="000F00E4">
            <w:pPr>
              <w:autoSpaceDE w:val="0"/>
              <w:autoSpaceDN w:val="0"/>
              <w:adjustRightInd w:val="0"/>
            </w:pPr>
            <w:r>
              <w:t xml:space="preserve">    3.2</w:t>
            </w:r>
          </w:p>
        </w:tc>
        <w:tc>
          <w:tcPr>
            <w:tcW w:w="5371" w:type="dxa"/>
            <w:vAlign w:val="center"/>
          </w:tcPr>
          <w:p w:rsidR="00D313C4" w:rsidRPr="002264AF" w:rsidRDefault="00D313C4" w:rsidP="000F00E4">
            <w:pPr>
              <w:autoSpaceDE w:val="0"/>
              <w:autoSpaceDN w:val="0"/>
              <w:adjustRightInd w:val="0"/>
              <w:spacing w:before="60" w:after="60"/>
            </w:pPr>
            <w:r w:rsidRPr="002264AF">
              <w:t>If specification limit is between 100 &amp; 500 ppm</w:t>
            </w:r>
          </w:p>
        </w:tc>
        <w:tc>
          <w:tcPr>
            <w:tcW w:w="2624" w:type="dxa"/>
            <w:vAlign w:val="center"/>
          </w:tcPr>
          <w:p w:rsidR="00D313C4" w:rsidRPr="002264AF" w:rsidRDefault="00D313C4" w:rsidP="000F00E4">
            <w:pPr>
              <w:autoSpaceDE w:val="0"/>
              <w:autoSpaceDN w:val="0"/>
              <w:adjustRightInd w:val="0"/>
              <w:jc w:val="center"/>
            </w:pPr>
            <w:r w:rsidRPr="002264AF">
              <w:t>± 15 %</w:t>
            </w:r>
          </w:p>
        </w:tc>
      </w:tr>
      <w:tr w:rsidR="00D313C4" w:rsidRPr="002264AF" w:rsidTr="00D313C4">
        <w:trPr>
          <w:trHeight w:val="346"/>
        </w:trPr>
        <w:tc>
          <w:tcPr>
            <w:tcW w:w="1047" w:type="dxa"/>
            <w:vAlign w:val="center"/>
          </w:tcPr>
          <w:p w:rsidR="00D313C4" w:rsidRPr="002264AF" w:rsidRDefault="00D313C4" w:rsidP="000F00E4">
            <w:pPr>
              <w:autoSpaceDE w:val="0"/>
              <w:autoSpaceDN w:val="0"/>
              <w:adjustRightInd w:val="0"/>
            </w:pPr>
            <w:r>
              <w:t xml:space="preserve">    3.3</w:t>
            </w:r>
          </w:p>
        </w:tc>
        <w:tc>
          <w:tcPr>
            <w:tcW w:w="5371" w:type="dxa"/>
            <w:vAlign w:val="center"/>
          </w:tcPr>
          <w:p w:rsidR="00D313C4" w:rsidRPr="002264AF" w:rsidRDefault="00D313C4" w:rsidP="000F00E4">
            <w:pPr>
              <w:autoSpaceDE w:val="0"/>
              <w:autoSpaceDN w:val="0"/>
              <w:adjustRightInd w:val="0"/>
              <w:spacing w:before="60" w:after="60"/>
            </w:pPr>
            <w:r w:rsidRPr="002264AF">
              <w:t>Residual solvents by GC (More than 500 ppm)</w:t>
            </w:r>
          </w:p>
        </w:tc>
        <w:tc>
          <w:tcPr>
            <w:tcW w:w="2624" w:type="dxa"/>
            <w:vAlign w:val="center"/>
          </w:tcPr>
          <w:p w:rsidR="00D313C4" w:rsidRPr="002264AF" w:rsidRDefault="00D313C4" w:rsidP="000F00E4">
            <w:pPr>
              <w:autoSpaceDE w:val="0"/>
              <w:autoSpaceDN w:val="0"/>
              <w:adjustRightInd w:val="0"/>
              <w:jc w:val="center"/>
            </w:pPr>
            <w:r w:rsidRPr="002264AF">
              <w:t>± 10 %</w:t>
            </w:r>
          </w:p>
        </w:tc>
      </w:tr>
      <w:tr w:rsidR="00D313C4" w:rsidRPr="002264AF" w:rsidTr="00D313C4">
        <w:trPr>
          <w:trHeight w:val="346"/>
        </w:trPr>
        <w:tc>
          <w:tcPr>
            <w:tcW w:w="1047" w:type="dxa"/>
            <w:vAlign w:val="center"/>
          </w:tcPr>
          <w:p w:rsidR="00D313C4" w:rsidRPr="002264AF" w:rsidRDefault="00D313C4" w:rsidP="000F00E4">
            <w:pPr>
              <w:autoSpaceDE w:val="0"/>
              <w:autoSpaceDN w:val="0"/>
              <w:adjustRightInd w:val="0"/>
              <w:jc w:val="center"/>
            </w:pPr>
            <w:r>
              <w:t>4.0</w:t>
            </w:r>
          </w:p>
        </w:tc>
        <w:tc>
          <w:tcPr>
            <w:tcW w:w="5371" w:type="dxa"/>
            <w:vAlign w:val="center"/>
          </w:tcPr>
          <w:p w:rsidR="00D313C4" w:rsidRPr="002264AF" w:rsidRDefault="00D313C4" w:rsidP="000F00E4">
            <w:pPr>
              <w:autoSpaceDE w:val="0"/>
              <w:autoSpaceDN w:val="0"/>
              <w:adjustRightInd w:val="0"/>
            </w:pPr>
            <w:r w:rsidRPr="002264AF">
              <w:t>For Purity by GC/HPLC(% area)</w:t>
            </w:r>
          </w:p>
        </w:tc>
        <w:tc>
          <w:tcPr>
            <w:tcW w:w="2624" w:type="dxa"/>
            <w:vAlign w:val="center"/>
          </w:tcPr>
          <w:p w:rsidR="00D313C4" w:rsidRPr="002264AF" w:rsidRDefault="00D313C4" w:rsidP="000F00E4">
            <w:pPr>
              <w:autoSpaceDE w:val="0"/>
              <w:autoSpaceDN w:val="0"/>
              <w:adjustRightInd w:val="0"/>
              <w:jc w:val="center"/>
            </w:pPr>
            <w:r w:rsidRPr="002264AF">
              <w:t>± 0.5</w:t>
            </w:r>
          </w:p>
        </w:tc>
      </w:tr>
      <w:tr w:rsidR="00D313C4" w:rsidRPr="002264AF" w:rsidTr="00D313C4">
        <w:trPr>
          <w:trHeight w:val="346"/>
        </w:trPr>
        <w:tc>
          <w:tcPr>
            <w:tcW w:w="1047" w:type="dxa"/>
            <w:vAlign w:val="center"/>
          </w:tcPr>
          <w:p w:rsidR="00D313C4" w:rsidRPr="002264AF" w:rsidRDefault="00D313C4" w:rsidP="000F00E4">
            <w:pPr>
              <w:autoSpaceDE w:val="0"/>
              <w:autoSpaceDN w:val="0"/>
              <w:adjustRightInd w:val="0"/>
              <w:jc w:val="center"/>
            </w:pPr>
            <w:r>
              <w:t>5.0</w:t>
            </w:r>
          </w:p>
        </w:tc>
        <w:tc>
          <w:tcPr>
            <w:tcW w:w="7995" w:type="dxa"/>
            <w:gridSpan w:val="2"/>
            <w:vAlign w:val="center"/>
          </w:tcPr>
          <w:p w:rsidR="00D313C4" w:rsidRPr="002264AF" w:rsidRDefault="00D313C4" w:rsidP="00D313C4">
            <w:pPr>
              <w:autoSpaceDE w:val="0"/>
              <w:autoSpaceDN w:val="0"/>
              <w:adjustRightInd w:val="0"/>
              <w:rPr>
                <w:b/>
              </w:rPr>
            </w:pPr>
            <w:r w:rsidRPr="002264AF">
              <w:t>Water content</w:t>
            </w:r>
          </w:p>
        </w:tc>
      </w:tr>
      <w:tr w:rsidR="00D313C4" w:rsidRPr="002264AF" w:rsidTr="00D313C4">
        <w:trPr>
          <w:trHeight w:val="346"/>
        </w:trPr>
        <w:tc>
          <w:tcPr>
            <w:tcW w:w="1047" w:type="dxa"/>
            <w:vAlign w:val="center"/>
          </w:tcPr>
          <w:p w:rsidR="00D313C4" w:rsidRPr="002264AF" w:rsidRDefault="00D313C4" w:rsidP="000F00E4">
            <w:pPr>
              <w:autoSpaceDE w:val="0"/>
              <w:autoSpaceDN w:val="0"/>
              <w:adjustRightInd w:val="0"/>
              <w:jc w:val="center"/>
            </w:pPr>
            <w:r>
              <w:t>5.1</w:t>
            </w:r>
          </w:p>
        </w:tc>
        <w:tc>
          <w:tcPr>
            <w:tcW w:w="5371" w:type="dxa"/>
            <w:vAlign w:val="center"/>
          </w:tcPr>
          <w:p w:rsidR="00D313C4" w:rsidRPr="002264AF" w:rsidRDefault="00D313C4" w:rsidP="000F00E4">
            <w:pPr>
              <w:autoSpaceDE w:val="0"/>
              <w:autoSpaceDN w:val="0"/>
              <w:adjustRightInd w:val="0"/>
            </w:pPr>
            <w:r w:rsidRPr="002264AF">
              <w:t>For water content (Specification &gt; 1.0% w/w)</w:t>
            </w:r>
          </w:p>
        </w:tc>
        <w:tc>
          <w:tcPr>
            <w:tcW w:w="2624" w:type="dxa"/>
            <w:vAlign w:val="center"/>
          </w:tcPr>
          <w:p w:rsidR="00D313C4" w:rsidRPr="002264AF" w:rsidRDefault="00D313C4" w:rsidP="000F00E4">
            <w:pPr>
              <w:jc w:val="center"/>
            </w:pPr>
            <w:r w:rsidRPr="002264AF">
              <w:t>± 0.</w:t>
            </w:r>
            <w:r>
              <w:t>1</w:t>
            </w:r>
          </w:p>
        </w:tc>
      </w:tr>
      <w:tr w:rsidR="00D313C4" w:rsidRPr="002264AF" w:rsidTr="00D313C4">
        <w:trPr>
          <w:trHeight w:val="346"/>
        </w:trPr>
        <w:tc>
          <w:tcPr>
            <w:tcW w:w="1047" w:type="dxa"/>
            <w:vAlign w:val="center"/>
          </w:tcPr>
          <w:p w:rsidR="00D313C4" w:rsidRPr="002264AF" w:rsidRDefault="00D313C4" w:rsidP="000F00E4">
            <w:pPr>
              <w:autoSpaceDE w:val="0"/>
              <w:autoSpaceDN w:val="0"/>
              <w:adjustRightInd w:val="0"/>
            </w:pPr>
            <w:r>
              <w:t xml:space="preserve">    5.2</w:t>
            </w:r>
          </w:p>
        </w:tc>
        <w:tc>
          <w:tcPr>
            <w:tcW w:w="5371" w:type="dxa"/>
            <w:vAlign w:val="center"/>
          </w:tcPr>
          <w:p w:rsidR="00D313C4" w:rsidRPr="002264AF" w:rsidRDefault="00D313C4" w:rsidP="000F00E4">
            <w:pPr>
              <w:autoSpaceDE w:val="0"/>
              <w:autoSpaceDN w:val="0"/>
              <w:adjustRightInd w:val="0"/>
            </w:pPr>
            <w:r w:rsidRPr="002264AF">
              <w:t xml:space="preserve">Water content (Specification &gt;0.5 to </w:t>
            </w:r>
            <w:r>
              <w:t>≤</w:t>
            </w:r>
            <w:r w:rsidRPr="002264AF">
              <w:t xml:space="preserve"> 1.0)(% w/w)</w:t>
            </w:r>
          </w:p>
        </w:tc>
        <w:tc>
          <w:tcPr>
            <w:tcW w:w="2624" w:type="dxa"/>
            <w:vAlign w:val="center"/>
          </w:tcPr>
          <w:p w:rsidR="00D313C4" w:rsidRPr="002264AF" w:rsidRDefault="00D313C4" w:rsidP="000F00E4">
            <w:pPr>
              <w:jc w:val="center"/>
            </w:pPr>
            <w:r>
              <w:t>± 0.05</w:t>
            </w:r>
          </w:p>
        </w:tc>
      </w:tr>
      <w:tr w:rsidR="00D313C4" w:rsidRPr="002264AF" w:rsidTr="00D313C4">
        <w:trPr>
          <w:trHeight w:val="346"/>
        </w:trPr>
        <w:tc>
          <w:tcPr>
            <w:tcW w:w="1047" w:type="dxa"/>
            <w:vAlign w:val="center"/>
          </w:tcPr>
          <w:p w:rsidR="00D313C4" w:rsidRPr="002264AF" w:rsidRDefault="00D313C4" w:rsidP="000F00E4">
            <w:pPr>
              <w:autoSpaceDE w:val="0"/>
              <w:autoSpaceDN w:val="0"/>
              <w:adjustRightInd w:val="0"/>
            </w:pPr>
            <w:r>
              <w:t xml:space="preserve">    5.3</w:t>
            </w:r>
          </w:p>
        </w:tc>
        <w:tc>
          <w:tcPr>
            <w:tcW w:w="5371" w:type="dxa"/>
            <w:vAlign w:val="center"/>
          </w:tcPr>
          <w:p w:rsidR="00D313C4" w:rsidRPr="002264AF" w:rsidRDefault="00D313C4" w:rsidP="000F00E4">
            <w:pPr>
              <w:autoSpaceDE w:val="0"/>
              <w:autoSpaceDN w:val="0"/>
              <w:adjustRightInd w:val="0"/>
            </w:pPr>
            <w:r w:rsidRPr="002264AF">
              <w:t xml:space="preserve">Water content (Specification </w:t>
            </w:r>
            <w:r>
              <w:t xml:space="preserve">≤ </w:t>
            </w:r>
            <w:r w:rsidRPr="002264AF">
              <w:t>0.5)(% w/w)</w:t>
            </w:r>
          </w:p>
        </w:tc>
        <w:tc>
          <w:tcPr>
            <w:tcW w:w="2624" w:type="dxa"/>
            <w:vAlign w:val="center"/>
          </w:tcPr>
          <w:p w:rsidR="00D313C4" w:rsidRPr="002264AF" w:rsidRDefault="00D313C4" w:rsidP="000F00E4">
            <w:pPr>
              <w:jc w:val="center"/>
            </w:pPr>
            <w:r>
              <w:t>± 0.03</w:t>
            </w:r>
          </w:p>
        </w:tc>
      </w:tr>
      <w:tr w:rsidR="00D313C4" w:rsidRPr="002264AF" w:rsidTr="00D313C4">
        <w:trPr>
          <w:trHeight w:val="346"/>
        </w:trPr>
        <w:tc>
          <w:tcPr>
            <w:tcW w:w="1047" w:type="dxa"/>
            <w:vAlign w:val="center"/>
          </w:tcPr>
          <w:p w:rsidR="00D313C4" w:rsidRPr="002264AF" w:rsidRDefault="00D313C4" w:rsidP="000F00E4">
            <w:pPr>
              <w:autoSpaceDE w:val="0"/>
              <w:autoSpaceDN w:val="0"/>
              <w:adjustRightInd w:val="0"/>
              <w:jc w:val="center"/>
            </w:pPr>
            <w:r>
              <w:t>6.0</w:t>
            </w:r>
          </w:p>
        </w:tc>
        <w:tc>
          <w:tcPr>
            <w:tcW w:w="7995" w:type="dxa"/>
            <w:gridSpan w:val="2"/>
            <w:vAlign w:val="center"/>
          </w:tcPr>
          <w:p w:rsidR="00D313C4" w:rsidRPr="002264AF" w:rsidRDefault="00D313C4" w:rsidP="000F00E4">
            <w:pPr>
              <w:autoSpaceDE w:val="0"/>
              <w:autoSpaceDN w:val="0"/>
              <w:adjustRightInd w:val="0"/>
              <w:rPr>
                <w:b/>
              </w:rPr>
            </w:pPr>
            <w:r w:rsidRPr="002264AF">
              <w:rPr>
                <w:bCs/>
              </w:rPr>
              <w:t xml:space="preserve">Loss on </w:t>
            </w:r>
            <w:r w:rsidRPr="002264AF">
              <w:t>drying</w:t>
            </w:r>
          </w:p>
        </w:tc>
      </w:tr>
      <w:tr w:rsidR="00D313C4" w:rsidRPr="002264AF" w:rsidTr="00D313C4">
        <w:trPr>
          <w:trHeight w:val="346"/>
        </w:trPr>
        <w:tc>
          <w:tcPr>
            <w:tcW w:w="1047" w:type="dxa"/>
            <w:vAlign w:val="center"/>
          </w:tcPr>
          <w:p w:rsidR="00D313C4" w:rsidRPr="002264AF" w:rsidRDefault="00D313C4" w:rsidP="000F00E4">
            <w:pPr>
              <w:autoSpaceDE w:val="0"/>
              <w:autoSpaceDN w:val="0"/>
              <w:adjustRightInd w:val="0"/>
            </w:pPr>
            <w:r>
              <w:t xml:space="preserve">     6.1</w:t>
            </w:r>
          </w:p>
        </w:tc>
        <w:tc>
          <w:tcPr>
            <w:tcW w:w="5371" w:type="dxa"/>
            <w:vAlign w:val="center"/>
          </w:tcPr>
          <w:p w:rsidR="00D313C4" w:rsidRPr="002264AF" w:rsidRDefault="00D313C4" w:rsidP="000F00E4">
            <w:pPr>
              <w:autoSpaceDE w:val="0"/>
              <w:autoSpaceDN w:val="0"/>
              <w:adjustRightInd w:val="0"/>
              <w:rPr>
                <w:bCs/>
              </w:rPr>
            </w:pPr>
            <w:r w:rsidRPr="002264AF">
              <w:rPr>
                <w:bCs/>
              </w:rPr>
              <w:t>Loss on drying (Specification &gt; 1.0% w/w)</w:t>
            </w:r>
          </w:p>
        </w:tc>
        <w:tc>
          <w:tcPr>
            <w:tcW w:w="2624" w:type="dxa"/>
            <w:vAlign w:val="center"/>
          </w:tcPr>
          <w:p w:rsidR="00D313C4" w:rsidRPr="002264AF" w:rsidRDefault="00D313C4" w:rsidP="000F00E4">
            <w:pPr>
              <w:jc w:val="center"/>
            </w:pPr>
            <w:r w:rsidRPr="002264AF">
              <w:t>± 0.</w:t>
            </w:r>
            <w:r>
              <w:t>1</w:t>
            </w:r>
          </w:p>
        </w:tc>
      </w:tr>
      <w:tr w:rsidR="00D313C4" w:rsidRPr="002264AF" w:rsidTr="00D313C4">
        <w:trPr>
          <w:trHeight w:val="346"/>
        </w:trPr>
        <w:tc>
          <w:tcPr>
            <w:tcW w:w="1047" w:type="dxa"/>
            <w:vAlign w:val="center"/>
          </w:tcPr>
          <w:p w:rsidR="00D313C4" w:rsidRPr="002264AF" w:rsidRDefault="00D313C4" w:rsidP="000F00E4">
            <w:pPr>
              <w:autoSpaceDE w:val="0"/>
              <w:autoSpaceDN w:val="0"/>
              <w:adjustRightInd w:val="0"/>
            </w:pPr>
            <w:r>
              <w:t xml:space="preserve">     6.2</w:t>
            </w:r>
          </w:p>
        </w:tc>
        <w:tc>
          <w:tcPr>
            <w:tcW w:w="5371" w:type="dxa"/>
            <w:vAlign w:val="center"/>
          </w:tcPr>
          <w:p w:rsidR="00D313C4" w:rsidRPr="002264AF" w:rsidRDefault="00D313C4" w:rsidP="000F00E4">
            <w:pPr>
              <w:autoSpaceDE w:val="0"/>
              <w:autoSpaceDN w:val="0"/>
              <w:adjustRightInd w:val="0"/>
            </w:pPr>
            <w:r w:rsidRPr="002264AF">
              <w:rPr>
                <w:bCs/>
              </w:rPr>
              <w:t xml:space="preserve">Loss on drying </w:t>
            </w:r>
            <w:r w:rsidRPr="002264AF">
              <w:t xml:space="preserve">(Specification &gt;0.5 to </w:t>
            </w:r>
            <w:r>
              <w:t>≤</w:t>
            </w:r>
            <w:r w:rsidRPr="002264AF">
              <w:t xml:space="preserve"> 1.0)(% w/w)</w:t>
            </w:r>
          </w:p>
        </w:tc>
        <w:tc>
          <w:tcPr>
            <w:tcW w:w="2624" w:type="dxa"/>
            <w:vAlign w:val="center"/>
          </w:tcPr>
          <w:p w:rsidR="00D313C4" w:rsidRPr="002264AF" w:rsidRDefault="00D313C4" w:rsidP="000F00E4">
            <w:pPr>
              <w:jc w:val="center"/>
            </w:pPr>
            <w:r>
              <w:t>± 0.05</w:t>
            </w:r>
          </w:p>
        </w:tc>
      </w:tr>
      <w:tr w:rsidR="00D313C4" w:rsidRPr="002264AF" w:rsidTr="00D313C4">
        <w:trPr>
          <w:trHeight w:val="346"/>
        </w:trPr>
        <w:tc>
          <w:tcPr>
            <w:tcW w:w="1047" w:type="dxa"/>
            <w:vAlign w:val="center"/>
          </w:tcPr>
          <w:p w:rsidR="00D313C4" w:rsidRPr="002264AF" w:rsidRDefault="00D313C4" w:rsidP="000F00E4">
            <w:pPr>
              <w:autoSpaceDE w:val="0"/>
              <w:autoSpaceDN w:val="0"/>
              <w:adjustRightInd w:val="0"/>
              <w:jc w:val="center"/>
            </w:pPr>
            <w:r>
              <w:t>6.3</w:t>
            </w:r>
          </w:p>
        </w:tc>
        <w:tc>
          <w:tcPr>
            <w:tcW w:w="5371" w:type="dxa"/>
            <w:vAlign w:val="center"/>
          </w:tcPr>
          <w:p w:rsidR="00D313C4" w:rsidRPr="002264AF" w:rsidRDefault="00D313C4" w:rsidP="000F00E4">
            <w:pPr>
              <w:autoSpaceDE w:val="0"/>
              <w:autoSpaceDN w:val="0"/>
              <w:adjustRightInd w:val="0"/>
            </w:pPr>
            <w:r w:rsidRPr="002264AF">
              <w:rPr>
                <w:bCs/>
              </w:rPr>
              <w:t xml:space="preserve">Loss on drying </w:t>
            </w:r>
            <w:r w:rsidRPr="002264AF">
              <w:t xml:space="preserve">(Specification </w:t>
            </w:r>
            <w:r>
              <w:t xml:space="preserve">≤ </w:t>
            </w:r>
            <w:r w:rsidRPr="002264AF">
              <w:t>0.5)(% w/w)</w:t>
            </w:r>
          </w:p>
        </w:tc>
        <w:tc>
          <w:tcPr>
            <w:tcW w:w="2624" w:type="dxa"/>
            <w:vAlign w:val="center"/>
          </w:tcPr>
          <w:p w:rsidR="00D313C4" w:rsidRPr="002264AF" w:rsidRDefault="00D313C4" w:rsidP="000F00E4">
            <w:pPr>
              <w:jc w:val="center"/>
            </w:pPr>
            <w:r>
              <w:t>± 0.03</w:t>
            </w:r>
          </w:p>
        </w:tc>
      </w:tr>
      <w:tr w:rsidR="00D313C4" w:rsidRPr="002264AF" w:rsidTr="00D313C4">
        <w:trPr>
          <w:trHeight w:val="374"/>
        </w:trPr>
        <w:tc>
          <w:tcPr>
            <w:tcW w:w="1047" w:type="dxa"/>
            <w:vAlign w:val="center"/>
          </w:tcPr>
          <w:p w:rsidR="00D313C4" w:rsidRPr="002264AF" w:rsidRDefault="00D313C4" w:rsidP="000F00E4">
            <w:pPr>
              <w:autoSpaceDE w:val="0"/>
              <w:autoSpaceDN w:val="0"/>
              <w:adjustRightInd w:val="0"/>
              <w:ind w:left="72"/>
              <w:jc w:val="center"/>
            </w:pPr>
            <w:r>
              <w:t>7.0</w:t>
            </w:r>
          </w:p>
        </w:tc>
        <w:tc>
          <w:tcPr>
            <w:tcW w:w="5371" w:type="dxa"/>
            <w:vAlign w:val="center"/>
          </w:tcPr>
          <w:p w:rsidR="00D313C4" w:rsidRPr="002264AF" w:rsidRDefault="00D313C4" w:rsidP="000F00E4">
            <w:pPr>
              <w:autoSpaceDE w:val="0"/>
              <w:autoSpaceDN w:val="0"/>
              <w:adjustRightInd w:val="0"/>
              <w:rPr>
                <w:bCs/>
              </w:rPr>
            </w:pPr>
            <w:r w:rsidRPr="002264AF">
              <w:rPr>
                <w:bCs/>
              </w:rPr>
              <w:t xml:space="preserve"> UV / IR</w:t>
            </w:r>
          </w:p>
        </w:tc>
        <w:tc>
          <w:tcPr>
            <w:tcW w:w="2624" w:type="dxa"/>
            <w:vAlign w:val="center"/>
          </w:tcPr>
          <w:p w:rsidR="00D313C4" w:rsidRPr="002264AF" w:rsidRDefault="00D313C4" w:rsidP="000F00E4">
            <w:pPr>
              <w:tabs>
                <w:tab w:val="left" w:pos="1080"/>
                <w:tab w:val="left" w:pos="4860"/>
                <w:tab w:val="left" w:pos="5130"/>
              </w:tabs>
              <w:jc w:val="center"/>
              <w:rPr>
                <w:bCs/>
              </w:rPr>
            </w:pPr>
            <w:r w:rsidRPr="002264AF">
              <w:rPr>
                <w:bCs/>
              </w:rPr>
              <w:t>Should be meet to specification limit.</w:t>
            </w:r>
          </w:p>
        </w:tc>
      </w:tr>
    </w:tbl>
    <w:p w:rsidR="00D313C4" w:rsidRPr="00D313C4" w:rsidRDefault="00D313C4" w:rsidP="00D313C4">
      <w:pPr>
        <w:tabs>
          <w:tab w:val="left" w:pos="585"/>
        </w:tabs>
        <w:spacing w:line="360" w:lineRule="auto"/>
        <w:ind w:left="558" w:right="-108"/>
        <w:jc w:val="both"/>
        <w:rPr>
          <w:bCs/>
        </w:rPr>
      </w:pPr>
      <w:r w:rsidRPr="00D313C4">
        <w:rPr>
          <w:bCs/>
        </w:rPr>
        <w:t>Example for checking the tolerance:</w:t>
      </w:r>
    </w:p>
    <w:p w:rsidR="00D313C4" w:rsidRPr="00D313C4" w:rsidRDefault="00D313C4" w:rsidP="00D313C4">
      <w:pPr>
        <w:tabs>
          <w:tab w:val="left" w:pos="585"/>
        </w:tabs>
        <w:spacing w:line="360" w:lineRule="auto"/>
        <w:ind w:left="558" w:right="-108"/>
        <w:jc w:val="both"/>
        <w:rPr>
          <w:bCs/>
        </w:rPr>
      </w:pPr>
      <w:r w:rsidRPr="00D313C4">
        <w:rPr>
          <w:bCs/>
        </w:rPr>
        <w:t>Actual assay value of the approved batch</w:t>
      </w:r>
      <w:r w:rsidRPr="00D313C4">
        <w:rPr>
          <w:bCs/>
        </w:rPr>
        <w:tab/>
        <w:t xml:space="preserve">            </w:t>
      </w:r>
      <w:r w:rsidRPr="00D313C4">
        <w:rPr>
          <w:bCs/>
        </w:rPr>
        <w:tab/>
        <w:t>:  99.5 %</w:t>
      </w:r>
    </w:p>
    <w:p w:rsidR="00D313C4" w:rsidRPr="00D313C4" w:rsidRDefault="00D313C4" w:rsidP="00D313C4">
      <w:pPr>
        <w:tabs>
          <w:tab w:val="left" w:pos="585"/>
        </w:tabs>
        <w:spacing w:line="360" w:lineRule="auto"/>
        <w:ind w:left="558" w:right="-108"/>
        <w:jc w:val="both"/>
        <w:rPr>
          <w:bCs/>
        </w:rPr>
      </w:pPr>
      <w:r w:rsidRPr="00D313C4">
        <w:rPr>
          <w:bCs/>
        </w:rPr>
        <w:t>Assay value obtained by the analyst during qualification</w:t>
      </w:r>
      <w:r w:rsidRPr="00D313C4">
        <w:rPr>
          <w:bCs/>
        </w:rPr>
        <w:tab/>
        <w:t>:  99.8 %</w:t>
      </w:r>
    </w:p>
    <w:p w:rsidR="00F30C1E" w:rsidRPr="00F30C1E" w:rsidRDefault="00D313C4" w:rsidP="00D313C4">
      <w:pPr>
        <w:tabs>
          <w:tab w:val="left" w:pos="585"/>
        </w:tabs>
        <w:spacing w:line="360" w:lineRule="auto"/>
        <w:ind w:left="558" w:right="-108"/>
        <w:jc w:val="both"/>
        <w:rPr>
          <w:bCs/>
        </w:rPr>
      </w:pPr>
      <w:r w:rsidRPr="00D313C4">
        <w:rPr>
          <w:bCs/>
        </w:rPr>
        <w:t>Tolerance limit for the Assay</w:t>
      </w:r>
      <w:r w:rsidRPr="00D313C4">
        <w:rPr>
          <w:bCs/>
        </w:rPr>
        <w:tab/>
      </w:r>
      <w:r w:rsidRPr="00D313C4">
        <w:rPr>
          <w:bCs/>
        </w:rPr>
        <w:tab/>
      </w:r>
      <w:r w:rsidRPr="00D313C4">
        <w:rPr>
          <w:bCs/>
        </w:rPr>
        <w:tab/>
      </w:r>
      <w:r w:rsidRPr="00D313C4">
        <w:rPr>
          <w:bCs/>
        </w:rPr>
        <w:tab/>
      </w:r>
      <w:r w:rsidRPr="00D313C4">
        <w:rPr>
          <w:bCs/>
        </w:rPr>
        <w:tab/>
        <w:t>:  ± 0.5</w:t>
      </w:r>
    </w:p>
    <w:p w:rsidR="00272A94" w:rsidRPr="002264AF" w:rsidRDefault="00272A94" w:rsidP="00272A94">
      <w:pPr>
        <w:numPr>
          <w:ilvl w:val="1"/>
          <w:numId w:val="1"/>
        </w:numPr>
        <w:tabs>
          <w:tab w:val="clear" w:pos="720"/>
          <w:tab w:val="left" w:pos="585"/>
          <w:tab w:val="num" w:pos="1125"/>
        </w:tabs>
        <w:spacing w:line="360" w:lineRule="auto"/>
        <w:ind w:left="558" w:right="-108" w:hanging="558"/>
        <w:jc w:val="both"/>
      </w:pPr>
      <w:r w:rsidRPr="002264AF">
        <w:rPr>
          <w:b/>
        </w:rPr>
        <w:t>ANALYST RE-QUALIFICATION:</w:t>
      </w:r>
    </w:p>
    <w:p w:rsidR="00272A94" w:rsidRPr="00272A94" w:rsidRDefault="00272A94" w:rsidP="00272A94">
      <w:pPr>
        <w:numPr>
          <w:ilvl w:val="2"/>
          <w:numId w:val="1"/>
        </w:numPr>
        <w:tabs>
          <w:tab w:val="clear" w:pos="2160"/>
          <w:tab w:val="num" w:pos="1143"/>
        </w:tabs>
        <w:autoSpaceDE w:val="0"/>
        <w:autoSpaceDN w:val="0"/>
        <w:adjustRightInd w:val="0"/>
        <w:spacing w:line="360" w:lineRule="auto"/>
        <w:ind w:left="1143" w:right="-108" w:hanging="603"/>
        <w:jc w:val="both"/>
      </w:pPr>
      <w:r w:rsidRPr="00272A94">
        <w:t xml:space="preserve">The Re-qualification of the analyst shall be performed as per the frequency once in 3 years ±15 days. </w:t>
      </w:r>
    </w:p>
    <w:p w:rsidR="00272A94" w:rsidRPr="00272A94" w:rsidRDefault="00272A94" w:rsidP="00272A94">
      <w:pPr>
        <w:numPr>
          <w:ilvl w:val="2"/>
          <w:numId w:val="1"/>
        </w:numPr>
        <w:tabs>
          <w:tab w:val="clear" w:pos="2160"/>
          <w:tab w:val="num" w:pos="1143"/>
        </w:tabs>
        <w:autoSpaceDE w:val="0"/>
        <w:autoSpaceDN w:val="0"/>
        <w:adjustRightInd w:val="0"/>
        <w:spacing w:line="360" w:lineRule="auto"/>
        <w:ind w:left="1143" w:right="-108" w:hanging="603"/>
        <w:jc w:val="both"/>
      </w:pPr>
      <w:r w:rsidRPr="00272A94">
        <w:t>Requalification shall be decided by Head –QC based on the analyst results and skills.</w:t>
      </w:r>
    </w:p>
    <w:p w:rsidR="00272A94" w:rsidRPr="00272A94" w:rsidRDefault="00272A94" w:rsidP="00272A94">
      <w:pPr>
        <w:numPr>
          <w:ilvl w:val="2"/>
          <w:numId w:val="1"/>
        </w:numPr>
        <w:tabs>
          <w:tab w:val="clear" w:pos="2160"/>
          <w:tab w:val="num" w:pos="1143"/>
        </w:tabs>
        <w:autoSpaceDE w:val="0"/>
        <w:autoSpaceDN w:val="0"/>
        <w:adjustRightInd w:val="0"/>
        <w:spacing w:line="360" w:lineRule="auto"/>
        <w:ind w:left="1143" w:right="-108" w:hanging="603"/>
        <w:jc w:val="both"/>
      </w:pPr>
      <w:r w:rsidRPr="00272A94">
        <w:t>Requalification is required if the analyst is shifted to new work area.</w:t>
      </w:r>
    </w:p>
    <w:p w:rsidR="00272A94" w:rsidRPr="00272A94" w:rsidRDefault="00272A94" w:rsidP="00272A94">
      <w:pPr>
        <w:numPr>
          <w:ilvl w:val="2"/>
          <w:numId w:val="1"/>
        </w:numPr>
        <w:tabs>
          <w:tab w:val="clear" w:pos="2160"/>
          <w:tab w:val="num" w:pos="1143"/>
        </w:tabs>
        <w:autoSpaceDE w:val="0"/>
        <w:autoSpaceDN w:val="0"/>
        <w:adjustRightInd w:val="0"/>
        <w:spacing w:line="360" w:lineRule="auto"/>
        <w:ind w:left="1143" w:right="-108" w:hanging="603"/>
        <w:jc w:val="both"/>
      </w:pPr>
      <w:r w:rsidRPr="00272A94">
        <w:t>If the analyst is on long leave requalification shall be performed for the allotted work area.</w:t>
      </w:r>
    </w:p>
    <w:p w:rsidR="004F6097" w:rsidRPr="00B00137" w:rsidRDefault="004F6097" w:rsidP="00F6565F">
      <w:pPr>
        <w:numPr>
          <w:ilvl w:val="0"/>
          <w:numId w:val="1"/>
        </w:numPr>
        <w:tabs>
          <w:tab w:val="clear" w:pos="720"/>
        </w:tabs>
        <w:spacing w:line="360" w:lineRule="auto"/>
        <w:ind w:left="-225" w:right="-90" w:hanging="288"/>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272A94" w:rsidRPr="00272A94" w:rsidRDefault="00272A94" w:rsidP="00272A94">
      <w:pPr>
        <w:numPr>
          <w:ilvl w:val="1"/>
          <w:numId w:val="1"/>
        </w:numPr>
        <w:tabs>
          <w:tab w:val="clear" w:pos="720"/>
          <w:tab w:val="left" w:pos="468"/>
          <w:tab w:val="left" w:pos="540"/>
          <w:tab w:val="num" w:pos="1125"/>
        </w:tabs>
        <w:spacing w:line="360" w:lineRule="auto"/>
        <w:ind w:left="468" w:right="-108" w:hanging="468"/>
        <w:jc w:val="both"/>
        <w:rPr>
          <w:szCs w:val="28"/>
        </w:rPr>
      </w:pPr>
      <w:r w:rsidRPr="00272A94">
        <w:rPr>
          <w:szCs w:val="28"/>
        </w:rPr>
        <w:t>Analyst qualification- raw data</w:t>
      </w:r>
      <w:r w:rsidRPr="00272A94">
        <w:rPr>
          <w:szCs w:val="28"/>
        </w:rPr>
        <w:tab/>
      </w:r>
      <w:r w:rsidRPr="00272A94">
        <w:rPr>
          <w:szCs w:val="28"/>
        </w:rPr>
        <w:tab/>
      </w:r>
      <w:r w:rsidR="00617D8C">
        <w:rPr>
          <w:szCs w:val="28"/>
        </w:rPr>
        <w:tab/>
      </w:r>
      <w:r w:rsidRPr="00272A94">
        <w:rPr>
          <w:szCs w:val="28"/>
        </w:rPr>
        <w:t xml:space="preserve">: </w:t>
      </w:r>
      <w:r w:rsidR="00567EAE" w:rsidRPr="00567EAE">
        <w:rPr>
          <w:szCs w:val="28"/>
        </w:rPr>
        <w:t>QC024-FM089</w:t>
      </w:r>
    </w:p>
    <w:p w:rsidR="00272A94" w:rsidRPr="00272A94" w:rsidRDefault="00272A94" w:rsidP="00272A94">
      <w:pPr>
        <w:numPr>
          <w:ilvl w:val="1"/>
          <w:numId w:val="1"/>
        </w:numPr>
        <w:tabs>
          <w:tab w:val="clear" w:pos="720"/>
          <w:tab w:val="left" w:pos="468"/>
          <w:tab w:val="left" w:pos="540"/>
          <w:tab w:val="num" w:pos="1125"/>
        </w:tabs>
        <w:spacing w:line="360" w:lineRule="auto"/>
        <w:ind w:left="468" w:right="-108" w:hanging="468"/>
        <w:jc w:val="both"/>
        <w:rPr>
          <w:szCs w:val="28"/>
        </w:rPr>
      </w:pPr>
      <w:r w:rsidRPr="00272A94">
        <w:rPr>
          <w:szCs w:val="28"/>
        </w:rPr>
        <w:t>Analyst qualification log</w:t>
      </w:r>
      <w:r w:rsidRPr="00272A94">
        <w:rPr>
          <w:szCs w:val="28"/>
        </w:rPr>
        <w:tab/>
      </w:r>
      <w:r w:rsidRPr="00272A94">
        <w:rPr>
          <w:szCs w:val="28"/>
        </w:rPr>
        <w:tab/>
      </w:r>
      <w:r w:rsidRPr="00272A94">
        <w:rPr>
          <w:szCs w:val="28"/>
        </w:rPr>
        <w:tab/>
      </w:r>
      <w:r w:rsidR="00617D8C">
        <w:rPr>
          <w:szCs w:val="28"/>
        </w:rPr>
        <w:tab/>
      </w:r>
      <w:r w:rsidRPr="00272A94">
        <w:rPr>
          <w:szCs w:val="28"/>
        </w:rPr>
        <w:t xml:space="preserve">: </w:t>
      </w:r>
      <w:r w:rsidR="00567EAE">
        <w:rPr>
          <w:szCs w:val="28"/>
        </w:rPr>
        <w:t>QC024-FM060</w:t>
      </w:r>
    </w:p>
    <w:p w:rsidR="00272A94" w:rsidRDefault="00272A94" w:rsidP="00272A94">
      <w:pPr>
        <w:numPr>
          <w:ilvl w:val="1"/>
          <w:numId w:val="1"/>
        </w:numPr>
        <w:tabs>
          <w:tab w:val="clear" w:pos="720"/>
          <w:tab w:val="left" w:pos="468"/>
          <w:tab w:val="left" w:pos="540"/>
          <w:tab w:val="num" w:pos="1125"/>
        </w:tabs>
        <w:spacing w:line="360" w:lineRule="auto"/>
        <w:ind w:left="468" w:right="-108" w:hanging="468"/>
        <w:jc w:val="both"/>
        <w:rPr>
          <w:szCs w:val="28"/>
        </w:rPr>
      </w:pPr>
      <w:r w:rsidRPr="00272A94">
        <w:rPr>
          <w:szCs w:val="28"/>
        </w:rPr>
        <w:t>Analyst qualification report</w:t>
      </w:r>
      <w:r w:rsidRPr="00272A94">
        <w:rPr>
          <w:szCs w:val="28"/>
        </w:rPr>
        <w:tab/>
      </w:r>
      <w:r w:rsidRPr="00272A94">
        <w:rPr>
          <w:szCs w:val="28"/>
        </w:rPr>
        <w:tab/>
      </w:r>
      <w:r w:rsidR="00617D8C">
        <w:rPr>
          <w:szCs w:val="28"/>
        </w:rPr>
        <w:tab/>
      </w:r>
      <w:r w:rsidRPr="00272A94">
        <w:rPr>
          <w:szCs w:val="28"/>
        </w:rPr>
        <w:t xml:space="preserve">: </w:t>
      </w:r>
      <w:r w:rsidR="00567EAE" w:rsidRPr="00567EAE">
        <w:rPr>
          <w:szCs w:val="28"/>
        </w:rPr>
        <w:t>QC024-FM059</w:t>
      </w:r>
    </w:p>
    <w:p w:rsidR="00617D8C" w:rsidRPr="00272A94" w:rsidRDefault="00617D8C" w:rsidP="00272A94">
      <w:pPr>
        <w:numPr>
          <w:ilvl w:val="1"/>
          <w:numId w:val="1"/>
        </w:numPr>
        <w:tabs>
          <w:tab w:val="clear" w:pos="720"/>
          <w:tab w:val="left" w:pos="468"/>
          <w:tab w:val="left" w:pos="540"/>
          <w:tab w:val="num" w:pos="1125"/>
        </w:tabs>
        <w:spacing w:line="360" w:lineRule="auto"/>
        <w:ind w:left="468" w:right="-108" w:hanging="468"/>
        <w:jc w:val="both"/>
        <w:rPr>
          <w:szCs w:val="28"/>
        </w:rPr>
      </w:pPr>
      <w:r w:rsidRPr="00617D8C">
        <w:rPr>
          <w:szCs w:val="28"/>
        </w:rPr>
        <w:t>Matrix of analyst qualification parameters</w:t>
      </w:r>
      <w:r>
        <w:rPr>
          <w:szCs w:val="28"/>
        </w:rPr>
        <w:tab/>
      </w:r>
      <w:r w:rsidRPr="00617D8C">
        <w:rPr>
          <w:szCs w:val="28"/>
        </w:rPr>
        <w:t xml:space="preserve">: Annexure-1             </w:t>
      </w:r>
    </w:p>
    <w:p w:rsidR="00AE14EB" w:rsidRPr="00B00137" w:rsidRDefault="004F6097" w:rsidP="00F6565F">
      <w:pPr>
        <w:numPr>
          <w:ilvl w:val="0"/>
          <w:numId w:val="1"/>
        </w:numPr>
        <w:tabs>
          <w:tab w:val="clear" w:pos="720"/>
        </w:tabs>
        <w:spacing w:line="360" w:lineRule="auto"/>
        <w:ind w:left="-225" w:right="-90" w:hanging="288"/>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152" w:type="dxa"/>
        <w:tblInd w:w="-405" w:type="dxa"/>
        <w:tblLayout w:type="fixed"/>
        <w:tblLook w:val="04A0"/>
      </w:tblPr>
      <w:tblGrid>
        <w:gridCol w:w="1179"/>
        <w:gridCol w:w="1460"/>
        <w:gridCol w:w="6244"/>
        <w:gridCol w:w="1269"/>
      </w:tblGrid>
      <w:tr w:rsidR="00984FC2" w:rsidRPr="00B00137" w:rsidTr="00532900">
        <w:trPr>
          <w:trHeight w:val="374"/>
          <w:tblHeader/>
        </w:trPr>
        <w:tc>
          <w:tcPr>
            <w:tcW w:w="1179" w:type="dxa"/>
            <w:vAlign w:val="center"/>
          </w:tcPr>
          <w:p w:rsidR="00984FC2" w:rsidRPr="00B00137" w:rsidRDefault="00984FC2" w:rsidP="007D3F91">
            <w:pPr>
              <w:jc w:val="center"/>
              <w:rPr>
                <w:b/>
                <w:color w:val="000000" w:themeColor="text1"/>
              </w:rPr>
            </w:pPr>
            <w:r w:rsidRPr="00B00137">
              <w:rPr>
                <w:b/>
                <w:color w:val="000000" w:themeColor="text1"/>
              </w:rPr>
              <w:t>Revision No.</w:t>
            </w:r>
          </w:p>
        </w:tc>
        <w:tc>
          <w:tcPr>
            <w:tcW w:w="1460" w:type="dxa"/>
            <w:vAlign w:val="center"/>
          </w:tcPr>
          <w:p w:rsidR="00984FC2" w:rsidRPr="00B00137" w:rsidRDefault="00984FC2" w:rsidP="007D3F91">
            <w:pPr>
              <w:jc w:val="center"/>
              <w:rPr>
                <w:color w:val="000000" w:themeColor="text1"/>
              </w:rPr>
            </w:pPr>
            <w:r w:rsidRPr="00B00137">
              <w:rPr>
                <w:b/>
                <w:color w:val="000000" w:themeColor="text1"/>
              </w:rPr>
              <w:t>Effective Date</w:t>
            </w:r>
          </w:p>
        </w:tc>
        <w:tc>
          <w:tcPr>
            <w:tcW w:w="6244" w:type="dxa"/>
            <w:vAlign w:val="center"/>
          </w:tcPr>
          <w:p w:rsidR="00984FC2" w:rsidRPr="00B00137" w:rsidRDefault="00984FC2" w:rsidP="007D3F91">
            <w:pPr>
              <w:rPr>
                <w:color w:val="000000" w:themeColor="text1"/>
              </w:rPr>
            </w:pPr>
            <w:r w:rsidRPr="00B00137">
              <w:rPr>
                <w:b/>
                <w:color w:val="000000" w:themeColor="text1"/>
              </w:rPr>
              <w:t>Details of Revision</w:t>
            </w:r>
          </w:p>
        </w:tc>
        <w:tc>
          <w:tcPr>
            <w:tcW w:w="1269" w:type="dxa"/>
            <w:vAlign w:val="center"/>
          </w:tcPr>
          <w:p w:rsidR="00984FC2" w:rsidRPr="00B00137" w:rsidRDefault="00984FC2" w:rsidP="007E75DE">
            <w:pPr>
              <w:jc w:val="center"/>
              <w:rPr>
                <w:b/>
                <w:color w:val="000000" w:themeColor="text1"/>
              </w:rPr>
            </w:pPr>
            <w:r w:rsidRPr="007D3F91">
              <w:rPr>
                <w:b/>
                <w:color w:val="000000" w:themeColor="text1"/>
              </w:rPr>
              <w:t>Ref. CCF No.</w:t>
            </w:r>
          </w:p>
        </w:tc>
      </w:tr>
      <w:tr w:rsidR="007E4AA4" w:rsidRPr="00B00137" w:rsidTr="00B7527F">
        <w:trPr>
          <w:trHeight w:val="576"/>
        </w:trPr>
        <w:tc>
          <w:tcPr>
            <w:tcW w:w="1179" w:type="dxa"/>
            <w:vAlign w:val="center"/>
          </w:tcPr>
          <w:p w:rsidR="007E4AA4" w:rsidRPr="00B00137" w:rsidRDefault="00B7527F" w:rsidP="00B7527F">
            <w:pPr>
              <w:jc w:val="center"/>
              <w:rPr>
                <w:color w:val="000000" w:themeColor="text1"/>
              </w:rPr>
            </w:pPr>
            <w:r>
              <w:rPr>
                <w:color w:val="000000" w:themeColor="text1"/>
              </w:rPr>
              <w:t>00</w:t>
            </w:r>
          </w:p>
        </w:tc>
        <w:tc>
          <w:tcPr>
            <w:tcW w:w="1460" w:type="dxa"/>
            <w:vAlign w:val="center"/>
          </w:tcPr>
          <w:p w:rsidR="007E4AA4" w:rsidRPr="00272A94" w:rsidRDefault="00B7527F" w:rsidP="00B7527F">
            <w:pPr>
              <w:jc w:val="center"/>
            </w:pPr>
            <w:r>
              <w:t>01.06.2007</w:t>
            </w:r>
          </w:p>
        </w:tc>
        <w:tc>
          <w:tcPr>
            <w:tcW w:w="6244" w:type="dxa"/>
            <w:vAlign w:val="center"/>
          </w:tcPr>
          <w:p w:rsidR="007E4AA4" w:rsidRPr="007E4AA4" w:rsidRDefault="007E4AA4" w:rsidP="00F073AA">
            <w:pPr>
              <w:pStyle w:val="BodyText2"/>
              <w:spacing w:after="0" w:line="240" w:lineRule="auto"/>
              <w:rPr>
                <w:bCs/>
                <w:iCs/>
              </w:rPr>
            </w:pPr>
            <w:r w:rsidRPr="007E4AA4">
              <w:rPr>
                <w:bCs/>
                <w:iCs/>
              </w:rPr>
              <w:t>New SOP is introduced</w:t>
            </w:r>
            <w:r w:rsidR="00B7527F">
              <w:rPr>
                <w:bCs/>
                <w:iCs/>
              </w:rPr>
              <w:t xml:space="preserve"> across all the API manufacturing facilities of Discovery. </w:t>
            </w:r>
          </w:p>
        </w:tc>
        <w:tc>
          <w:tcPr>
            <w:tcW w:w="1269" w:type="dxa"/>
          </w:tcPr>
          <w:p w:rsidR="007E4AA4" w:rsidRPr="000115BB" w:rsidRDefault="007E4AA4" w:rsidP="00712548">
            <w:pPr>
              <w:jc w:val="center"/>
              <w:rPr>
                <w:color w:val="000000" w:themeColor="text1"/>
              </w:rPr>
            </w:pPr>
            <w:r>
              <w:rPr>
                <w:color w:val="000000" w:themeColor="text1"/>
              </w:rPr>
              <w:t>--</w:t>
            </w:r>
          </w:p>
        </w:tc>
      </w:tr>
      <w:tr w:rsidR="0000739E" w:rsidRPr="00B00137" w:rsidTr="00B7527F">
        <w:trPr>
          <w:trHeight w:val="576"/>
        </w:trPr>
        <w:tc>
          <w:tcPr>
            <w:tcW w:w="1179" w:type="dxa"/>
            <w:vAlign w:val="center"/>
          </w:tcPr>
          <w:p w:rsidR="0000739E" w:rsidRPr="00B00137" w:rsidRDefault="00B7527F" w:rsidP="00B7527F">
            <w:pPr>
              <w:jc w:val="center"/>
              <w:rPr>
                <w:color w:val="000000" w:themeColor="text1"/>
              </w:rPr>
            </w:pPr>
            <w:r>
              <w:rPr>
                <w:color w:val="000000" w:themeColor="text1"/>
              </w:rPr>
              <w:t>01</w:t>
            </w:r>
          </w:p>
        </w:tc>
        <w:tc>
          <w:tcPr>
            <w:tcW w:w="1460" w:type="dxa"/>
            <w:vAlign w:val="center"/>
          </w:tcPr>
          <w:p w:rsidR="0000739E" w:rsidRPr="007E4AA4" w:rsidRDefault="00B7527F" w:rsidP="00B7527F">
            <w:pPr>
              <w:jc w:val="center"/>
            </w:pPr>
            <w:r>
              <w:t>01.01.2011</w:t>
            </w:r>
          </w:p>
        </w:tc>
        <w:tc>
          <w:tcPr>
            <w:tcW w:w="6244" w:type="dxa"/>
            <w:vAlign w:val="center"/>
          </w:tcPr>
          <w:p w:rsidR="0000739E" w:rsidRPr="007E4AA4" w:rsidRDefault="00B7527F" w:rsidP="00B7527F">
            <w:pPr>
              <w:pStyle w:val="BodyText2"/>
              <w:spacing w:after="0" w:line="276" w:lineRule="auto"/>
              <w:rPr>
                <w:color w:val="000000"/>
              </w:rPr>
            </w:pPr>
            <w:r>
              <w:rPr>
                <w:color w:val="000000"/>
              </w:rPr>
              <w:t>The following point incorporate with SOP, re analyst qualification shall be performing once in year</w:t>
            </w:r>
          </w:p>
        </w:tc>
        <w:tc>
          <w:tcPr>
            <w:tcW w:w="1269" w:type="dxa"/>
          </w:tcPr>
          <w:p w:rsidR="0000739E" w:rsidRPr="00B00137" w:rsidRDefault="0000739E" w:rsidP="0039710B">
            <w:pPr>
              <w:jc w:val="center"/>
              <w:rPr>
                <w:bCs/>
                <w:color w:val="000000" w:themeColor="text1"/>
              </w:rPr>
            </w:pPr>
            <w:r>
              <w:rPr>
                <w:bCs/>
                <w:color w:val="000000" w:themeColor="text1"/>
              </w:rPr>
              <w:t>--</w:t>
            </w:r>
          </w:p>
        </w:tc>
      </w:tr>
      <w:tr w:rsidR="00455957" w:rsidRPr="00B00137" w:rsidTr="00B7527F">
        <w:trPr>
          <w:trHeight w:val="576"/>
        </w:trPr>
        <w:tc>
          <w:tcPr>
            <w:tcW w:w="1179" w:type="dxa"/>
            <w:vAlign w:val="center"/>
          </w:tcPr>
          <w:p w:rsidR="00455957" w:rsidRPr="00B00137" w:rsidRDefault="00B7527F" w:rsidP="00B7527F">
            <w:pPr>
              <w:jc w:val="center"/>
              <w:rPr>
                <w:color w:val="000000" w:themeColor="text1"/>
              </w:rPr>
            </w:pPr>
            <w:r>
              <w:rPr>
                <w:color w:val="000000" w:themeColor="text1"/>
              </w:rPr>
              <w:t>02</w:t>
            </w:r>
          </w:p>
        </w:tc>
        <w:tc>
          <w:tcPr>
            <w:tcW w:w="1460" w:type="dxa"/>
            <w:vAlign w:val="center"/>
          </w:tcPr>
          <w:p w:rsidR="00455957" w:rsidRPr="007E4AA4" w:rsidRDefault="00B7527F" w:rsidP="00B7527F">
            <w:pPr>
              <w:jc w:val="center"/>
            </w:pPr>
            <w:r>
              <w:t>01.06.2014</w:t>
            </w:r>
          </w:p>
        </w:tc>
        <w:tc>
          <w:tcPr>
            <w:tcW w:w="6244" w:type="dxa"/>
            <w:vAlign w:val="center"/>
          </w:tcPr>
          <w:p w:rsidR="00455957" w:rsidRDefault="00B7527F" w:rsidP="00F6565F">
            <w:pPr>
              <w:pStyle w:val="BodyText2"/>
              <w:numPr>
                <w:ilvl w:val="0"/>
                <w:numId w:val="4"/>
              </w:numPr>
              <w:spacing w:after="0" w:line="276" w:lineRule="auto"/>
              <w:ind w:left="358" w:hanging="324"/>
              <w:rPr>
                <w:bCs/>
                <w:iCs/>
              </w:rPr>
            </w:pPr>
            <w:r>
              <w:rPr>
                <w:bCs/>
                <w:iCs/>
              </w:rPr>
              <w:t>Procedure change with clear and clarity.</w:t>
            </w:r>
          </w:p>
          <w:p w:rsidR="00B7527F" w:rsidRPr="00826512" w:rsidRDefault="00B7527F" w:rsidP="00F6565F">
            <w:pPr>
              <w:pStyle w:val="BodyText2"/>
              <w:numPr>
                <w:ilvl w:val="0"/>
                <w:numId w:val="4"/>
              </w:numPr>
              <w:spacing w:after="0" w:line="276" w:lineRule="auto"/>
              <w:ind w:left="358" w:hanging="324"/>
              <w:rPr>
                <w:bCs/>
                <w:iCs/>
              </w:rPr>
            </w:pPr>
            <w:r>
              <w:rPr>
                <w:bCs/>
                <w:iCs/>
              </w:rPr>
              <w:t>Analyst qualification inventory record introduced</w:t>
            </w:r>
          </w:p>
        </w:tc>
        <w:tc>
          <w:tcPr>
            <w:tcW w:w="1269" w:type="dxa"/>
          </w:tcPr>
          <w:p w:rsidR="00455957" w:rsidRPr="007D031F" w:rsidRDefault="00B7527F" w:rsidP="00F40683">
            <w:pPr>
              <w:jc w:val="center"/>
              <w:rPr>
                <w:bCs/>
                <w:color w:val="000000" w:themeColor="text1"/>
              </w:rPr>
            </w:pPr>
            <w:r>
              <w:rPr>
                <w:bCs/>
                <w:color w:val="000000" w:themeColor="text1"/>
              </w:rPr>
              <w:t>--</w:t>
            </w:r>
          </w:p>
        </w:tc>
      </w:tr>
      <w:tr w:rsidR="00B7527F" w:rsidRPr="00B00137" w:rsidTr="00B7527F">
        <w:trPr>
          <w:trHeight w:val="576"/>
        </w:trPr>
        <w:tc>
          <w:tcPr>
            <w:tcW w:w="1179" w:type="dxa"/>
            <w:vAlign w:val="center"/>
          </w:tcPr>
          <w:p w:rsidR="00B7527F" w:rsidRDefault="00B7527F" w:rsidP="00B7527F">
            <w:pPr>
              <w:jc w:val="center"/>
              <w:rPr>
                <w:color w:val="000000" w:themeColor="text1"/>
              </w:rPr>
            </w:pPr>
            <w:r>
              <w:rPr>
                <w:color w:val="000000" w:themeColor="text1"/>
              </w:rPr>
              <w:t>03</w:t>
            </w:r>
          </w:p>
        </w:tc>
        <w:tc>
          <w:tcPr>
            <w:tcW w:w="1460" w:type="dxa"/>
            <w:vAlign w:val="center"/>
          </w:tcPr>
          <w:p w:rsidR="00B7527F" w:rsidRPr="007E4AA4" w:rsidRDefault="00B7527F" w:rsidP="00B7527F">
            <w:pPr>
              <w:jc w:val="center"/>
            </w:pPr>
            <w:r>
              <w:t>01.01.2015</w:t>
            </w:r>
          </w:p>
        </w:tc>
        <w:tc>
          <w:tcPr>
            <w:tcW w:w="6244" w:type="dxa"/>
            <w:vAlign w:val="center"/>
          </w:tcPr>
          <w:p w:rsidR="00B7527F" w:rsidRPr="007E4AA4" w:rsidRDefault="00B7527F" w:rsidP="00B7527F">
            <w:pPr>
              <w:pStyle w:val="BodyText2"/>
              <w:numPr>
                <w:ilvl w:val="0"/>
                <w:numId w:val="8"/>
              </w:numPr>
              <w:spacing w:after="0" w:line="276" w:lineRule="auto"/>
              <w:ind w:left="358" w:hanging="324"/>
              <w:rPr>
                <w:bCs/>
                <w:iCs/>
              </w:rPr>
            </w:pPr>
            <w:r>
              <w:rPr>
                <w:bCs/>
                <w:iCs/>
              </w:rPr>
              <w:t>Revised as per more clarity</w:t>
            </w:r>
          </w:p>
        </w:tc>
        <w:tc>
          <w:tcPr>
            <w:tcW w:w="1269" w:type="dxa"/>
          </w:tcPr>
          <w:p w:rsidR="00B7527F" w:rsidRDefault="00B7527F" w:rsidP="00F40683">
            <w:pPr>
              <w:jc w:val="center"/>
              <w:rPr>
                <w:bCs/>
                <w:color w:val="000000" w:themeColor="text1"/>
              </w:rPr>
            </w:pPr>
            <w:r>
              <w:rPr>
                <w:bCs/>
                <w:color w:val="000000" w:themeColor="text1"/>
              </w:rPr>
              <w:t>--</w:t>
            </w:r>
          </w:p>
        </w:tc>
      </w:tr>
      <w:tr w:rsidR="00B7527F" w:rsidRPr="00B00137" w:rsidTr="00B7527F">
        <w:trPr>
          <w:trHeight w:val="374"/>
        </w:trPr>
        <w:tc>
          <w:tcPr>
            <w:tcW w:w="1179" w:type="dxa"/>
            <w:vAlign w:val="center"/>
          </w:tcPr>
          <w:p w:rsidR="00B7527F" w:rsidRDefault="00B7527F" w:rsidP="00B7527F">
            <w:pPr>
              <w:jc w:val="center"/>
              <w:rPr>
                <w:color w:val="000000" w:themeColor="text1"/>
              </w:rPr>
            </w:pPr>
            <w:r>
              <w:rPr>
                <w:color w:val="000000" w:themeColor="text1"/>
              </w:rPr>
              <w:t>04</w:t>
            </w:r>
          </w:p>
        </w:tc>
        <w:tc>
          <w:tcPr>
            <w:tcW w:w="1460" w:type="dxa"/>
            <w:vAlign w:val="center"/>
          </w:tcPr>
          <w:p w:rsidR="00B7527F" w:rsidRPr="007E4AA4" w:rsidRDefault="00B7527F" w:rsidP="00B7527F">
            <w:pPr>
              <w:jc w:val="center"/>
            </w:pPr>
            <w:r>
              <w:t>01.01.2017</w:t>
            </w:r>
          </w:p>
        </w:tc>
        <w:tc>
          <w:tcPr>
            <w:tcW w:w="6244" w:type="dxa"/>
            <w:vAlign w:val="center"/>
          </w:tcPr>
          <w:p w:rsidR="00B7527F" w:rsidRDefault="00B7527F" w:rsidP="00B7527F">
            <w:pPr>
              <w:pStyle w:val="BodyText2"/>
              <w:numPr>
                <w:ilvl w:val="0"/>
                <w:numId w:val="7"/>
              </w:numPr>
              <w:spacing w:after="0" w:line="276" w:lineRule="auto"/>
              <w:ind w:left="358" w:hanging="324"/>
              <w:rPr>
                <w:bCs/>
                <w:iCs/>
              </w:rPr>
            </w:pPr>
            <w:r w:rsidRPr="007E4AA4">
              <w:rPr>
                <w:bCs/>
                <w:iCs/>
              </w:rPr>
              <w:t>SOP format changed make</w:t>
            </w:r>
            <w:r w:rsidR="00EE590D">
              <w:rPr>
                <w:bCs/>
                <w:iCs/>
              </w:rPr>
              <w:t xml:space="preserve"> to</w:t>
            </w:r>
            <w:r w:rsidRPr="007E4AA4">
              <w:rPr>
                <w:bCs/>
                <w:iCs/>
              </w:rPr>
              <w:t xml:space="preserve"> in line with SOP-QA-001-04</w:t>
            </w:r>
          </w:p>
          <w:p w:rsidR="00B7527F" w:rsidRDefault="00B7527F" w:rsidP="00B7527F">
            <w:pPr>
              <w:pStyle w:val="BodyText2"/>
              <w:numPr>
                <w:ilvl w:val="0"/>
                <w:numId w:val="7"/>
              </w:numPr>
              <w:spacing w:after="0" w:line="276" w:lineRule="auto"/>
              <w:ind w:left="358" w:hanging="324"/>
              <w:rPr>
                <w:bCs/>
                <w:iCs/>
              </w:rPr>
            </w:pPr>
            <w:r>
              <w:rPr>
                <w:bCs/>
                <w:iCs/>
              </w:rPr>
              <w:t xml:space="preserve"> Acceptance criteria are modified.</w:t>
            </w:r>
          </w:p>
          <w:p w:rsidR="00B7527F" w:rsidRDefault="00B7527F" w:rsidP="00B7527F">
            <w:pPr>
              <w:pStyle w:val="BodyText2"/>
              <w:numPr>
                <w:ilvl w:val="0"/>
                <w:numId w:val="7"/>
              </w:numPr>
              <w:spacing w:after="0" w:line="276" w:lineRule="auto"/>
              <w:ind w:left="358" w:hanging="324"/>
              <w:rPr>
                <w:bCs/>
                <w:iCs/>
              </w:rPr>
            </w:pPr>
            <w:r>
              <w:rPr>
                <w:bCs/>
                <w:iCs/>
              </w:rPr>
              <w:t xml:space="preserve">Re-qualification frequency </w:t>
            </w:r>
            <w:r w:rsidR="00567EAE">
              <w:rPr>
                <w:bCs/>
                <w:iCs/>
              </w:rPr>
              <w:t xml:space="preserve">modified. </w:t>
            </w:r>
            <w:r>
              <w:rPr>
                <w:bCs/>
                <w:iCs/>
              </w:rPr>
              <w:t xml:space="preserve"> </w:t>
            </w:r>
          </w:p>
          <w:p w:rsidR="00EE590D" w:rsidRPr="00826512" w:rsidRDefault="00EE590D" w:rsidP="00B7527F">
            <w:pPr>
              <w:pStyle w:val="BodyText2"/>
              <w:numPr>
                <w:ilvl w:val="0"/>
                <w:numId w:val="7"/>
              </w:numPr>
              <w:spacing w:after="0" w:line="276" w:lineRule="auto"/>
              <w:ind w:left="358" w:hanging="324"/>
              <w:rPr>
                <w:bCs/>
                <w:iCs/>
              </w:rPr>
            </w:pPr>
            <w:r>
              <w:rPr>
                <w:bCs/>
                <w:iCs/>
              </w:rPr>
              <w:t>Altogether procedure has been rephrased for better clarity.</w:t>
            </w:r>
          </w:p>
        </w:tc>
        <w:tc>
          <w:tcPr>
            <w:tcW w:w="1269" w:type="dxa"/>
          </w:tcPr>
          <w:p w:rsidR="00B7527F" w:rsidRPr="007D031F" w:rsidRDefault="00B7527F" w:rsidP="002B207B">
            <w:pPr>
              <w:jc w:val="center"/>
              <w:rPr>
                <w:bCs/>
                <w:color w:val="000000" w:themeColor="text1"/>
              </w:rPr>
            </w:pPr>
            <w:r>
              <w:rPr>
                <w:bCs/>
                <w:color w:val="000000" w:themeColor="text1"/>
              </w:rPr>
              <w:t>QC-CRF-0</w:t>
            </w:r>
            <w:r w:rsidR="002B207B">
              <w:rPr>
                <w:bCs/>
                <w:color w:val="000000" w:themeColor="text1"/>
              </w:rPr>
              <w:t>25</w:t>
            </w:r>
            <w:r>
              <w:rPr>
                <w:bCs/>
                <w:color w:val="000000" w:themeColor="text1"/>
              </w:rPr>
              <w:t>/16</w:t>
            </w:r>
          </w:p>
        </w:tc>
      </w:tr>
    </w:tbl>
    <w:p w:rsidR="009D6DB8" w:rsidRPr="00532900" w:rsidRDefault="009D6DB8" w:rsidP="00532900">
      <w:pPr>
        <w:rPr>
          <w:color w:val="000000" w:themeColor="text1"/>
          <w:sz w:val="10"/>
        </w:rPr>
      </w:pPr>
    </w:p>
    <w:sectPr w:rsidR="009D6DB8" w:rsidRPr="00532900" w:rsidSect="00F12C2F">
      <w:headerReference w:type="even" r:id="rId8"/>
      <w:headerReference w:type="default" r:id="rId9"/>
      <w:footerReference w:type="even" r:id="rId10"/>
      <w:footerReference w:type="default" r:id="rId11"/>
      <w:headerReference w:type="first" r:id="rId12"/>
      <w:footerReference w:type="first" r:id="rId13"/>
      <w:pgSz w:w="11909" w:h="16834" w:code="9"/>
      <w:pgMar w:top="1440" w:right="929" w:bottom="810" w:left="1440" w:header="1008"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BB0" w:rsidRDefault="00E12BB0">
      <w:r>
        <w:separator/>
      </w:r>
    </w:p>
  </w:endnote>
  <w:endnote w:type="continuationSeparator" w:id="1">
    <w:p w:rsidR="00E12BB0" w:rsidRDefault="00E12B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60C" w:rsidRDefault="005536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73"/>
      <w:gridCol w:w="2652"/>
      <w:gridCol w:w="2753"/>
      <w:gridCol w:w="2874"/>
    </w:tblGrid>
    <w:tr w:rsidR="005251EA" w:rsidRPr="00E90738" w:rsidTr="0004260C">
      <w:trPr>
        <w:trHeight w:val="346"/>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04260C">
      <w:trPr>
        <w:trHeight w:val="648"/>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EE590D" w:rsidRPr="00E90738" w:rsidTr="0004260C">
      <w:trPr>
        <w:trHeight w:val="374"/>
      </w:trPr>
      <w:tc>
        <w:tcPr>
          <w:tcW w:w="1873" w:type="dxa"/>
          <w:vAlign w:val="center"/>
        </w:tcPr>
        <w:p w:rsidR="00EE590D" w:rsidRPr="0029058A" w:rsidRDefault="00EE590D" w:rsidP="006E21D7">
          <w:pPr>
            <w:tabs>
              <w:tab w:val="center" w:pos="4320"/>
              <w:tab w:val="right" w:pos="8640"/>
            </w:tabs>
            <w:jc w:val="center"/>
          </w:pPr>
          <w:r w:rsidRPr="0029058A">
            <w:t>Name</w:t>
          </w:r>
        </w:p>
      </w:tc>
      <w:tc>
        <w:tcPr>
          <w:tcW w:w="2652" w:type="dxa"/>
          <w:vAlign w:val="center"/>
        </w:tcPr>
        <w:p w:rsidR="00EE590D" w:rsidRPr="000F18B3" w:rsidRDefault="00314B66" w:rsidP="00C47B89">
          <w:pPr>
            <w:pStyle w:val="Footer"/>
            <w:jc w:val="center"/>
          </w:pPr>
          <w:r>
            <w:t>A.Navya</w:t>
          </w:r>
        </w:p>
      </w:tc>
      <w:tc>
        <w:tcPr>
          <w:tcW w:w="2753" w:type="dxa"/>
          <w:vAlign w:val="center"/>
        </w:tcPr>
        <w:p w:rsidR="00EE590D" w:rsidRPr="0029058A" w:rsidRDefault="00314B66" w:rsidP="00712548">
          <w:pPr>
            <w:jc w:val="center"/>
          </w:pPr>
          <w:r>
            <w:t>S.Prasad</w:t>
          </w:r>
        </w:p>
      </w:tc>
      <w:tc>
        <w:tcPr>
          <w:tcW w:w="2874" w:type="dxa"/>
          <w:vAlign w:val="center"/>
        </w:tcPr>
        <w:p w:rsidR="00EE590D" w:rsidRPr="0029058A" w:rsidRDefault="00314B66" w:rsidP="006E21D7">
          <w:pPr>
            <w:jc w:val="center"/>
          </w:pPr>
          <w:r>
            <w:t>Ch.Mahendar Reddy</w:t>
          </w:r>
        </w:p>
      </w:tc>
    </w:tr>
    <w:tr w:rsidR="00EE590D" w:rsidRPr="00E90738" w:rsidTr="0004260C">
      <w:trPr>
        <w:trHeight w:val="374"/>
      </w:trPr>
      <w:tc>
        <w:tcPr>
          <w:tcW w:w="1873" w:type="dxa"/>
          <w:vAlign w:val="center"/>
        </w:tcPr>
        <w:p w:rsidR="00EE590D" w:rsidRPr="0029058A" w:rsidRDefault="00EE590D" w:rsidP="006E21D7">
          <w:pPr>
            <w:jc w:val="center"/>
          </w:pPr>
          <w:r w:rsidRPr="0029058A">
            <w:t>Department</w:t>
          </w:r>
        </w:p>
      </w:tc>
      <w:tc>
        <w:tcPr>
          <w:tcW w:w="2652" w:type="dxa"/>
          <w:vAlign w:val="center"/>
        </w:tcPr>
        <w:p w:rsidR="00EE590D" w:rsidRPr="000F18B3" w:rsidRDefault="00EE590D" w:rsidP="00C47B89">
          <w:pPr>
            <w:pStyle w:val="Footer"/>
            <w:jc w:val="center"/>
          </w:pPr>
          <w:r w:rsidRPr="000F18B3">
            <w:t>Quality Control</w:t>
          </w:r>
        </w:p>
      </w:tc>
      <w:tc>
        <w:tcPr>
          <w:tcW w:w="2753" w:type="dxa"/>
          <w:vAlign w:val="center"/>
        </w:tcPr>
        <w:p w:rsidR="00EE590D" w:rsidRPr="0029058A" w:rsidRDefault="00EE590D" w:rsidP="000703C6">
          <w:pPr>
            <w:jc w:val="center"/>
          </w:pPr>
          <w:r>
            <w:t xml:space="preserve">Sr. Executive  – QC </w:t>
          </w:r>
        </w:p>
      </w:tc>
      <w:tc>
        <w:tcPr>
          <w:tcW w:w="2874" w:type="dxa"/>
          <w:vAlign w:val="center"/>
        </w:tcPr>
        <w:p w:rsidR="00EE590D" w:rsidRPr="0029058A" w:rsidRDefault="00EE590D" w:rsidP="006E21D7">
          <w:pPr>
            <w:jc w:val="center"/>
          </w:pPr>
          <w:r w:rsidRPr="0029058A">
            <w:t>Quality Assurance</w:t>
          </w:r>
        </w:p>
      </w:tc>
    </w:tr>
  </w:tbl>
  <w:p w:rsidR="005251EA" w:rsidRPr="00F12C2F" w:rsidRDefault="00F12C2F" w:rsidP="005251EA">
    <w:pPr>
      <w:pStyle w:val="Footer"/>
      <w:ind w:left="-504"/>
    </w:pPr>
    <w:r w:rsidRPr="00F12C2F">
      <w:t>QA001-FM1</w:t>
    </w:r>
    <w:r w:rsidR="007E4AA4">
      <w:t>39</w:t>
    </w:r>
    <w:r w:rsidR="00FF42D5">
      <w:t>-00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BB0" w:rsidRDefault="00E12BB0">
      <w:r>
        <w:separator/>
      </w:r>
    </w:p>
  </w:footnote>
  <w:footnote w:type="continuationSeparator" w:id="1">
    <w:p w:rsidR="00E12BB0" w:rsidRDefault="00E12B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60C" w:rsidRDefault="005536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3"/>
      <w:gridCol w:w="1665"/>
      <w:gridCol w:w="2403"/>
      <w:gridCol w:w="2115"/>
      <w:gridCol w:w="1836"/>
    </w:tblGrid>
    <w:tr w:rsidR="0004260C" w:rsidRPr="007D7C90" w:rsidTr="009E3189">
      <w:trPr>
        <w:cantSplit/>
        <w:trHeight w:val="432"/>
      </w:trPr>
      <w:tc>
        <w:tcPr>
          <w:tcW w:w="2133" w:type="dxa"/>
          <w:vMerge w:val="restart"/>
          <w:vAlign w:val="center"/>
        </w:tcPr>
        <w:p w:rsidR="0004260C" w:rsidRPr="007D7C90" w:rsidRDefault="0055360C" w:rsidP="00066343">
          <w:pPr>
            <w:ind w:left="792" w:hanging="792"/>
            <w:jc w:val="center"/>
            <w:rPr>
              <w:b/>
              <w:sz w:val="28"/>
              <w:szCs w:val="28"/>
            </w:rPr>
          </w:pPr>
          <w:r w:rsidRPr="0055360C">
            <w:rPr>
              <w:b/>
              <w:sz w:val="28"/>
              <w:szCs w:val="28"/>
            </w:rPr>
            <w:drawing>
              <wp:anchor distT="0" distB="0" distL="114300" distR="114300" simplePos="0" relativeHeight="251665408" behindDoc="0" locked="0" layoutInCell="1" allowOverlap="1">
                <wp:simplePos x="0" y="0"/>
                <wp:positionH relativeFrom="column">
                  <wp:posOffset>258445</wp:posOffset>
                </wp:positionH>
                <wp:positionV relativeFrom="paragraph">
                  <wp:posOffset>13970</wp:posOffset>
                </wp:positionV>
                <wp:extent cx="933450" cy="790575"/>
                <wp:effectExtent l="19050" t="0" r="0" b="0"/>
                <wp:wrapNone/>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790575"/>
                        </a:xfrm>
                        <a:prstGeom prst="rect">
                          <a:avLst/>
                        </a:prstGeom>
                        <a:noFill/>
                        <a:ln w="9525">
                          <a:noFill/>
                          <a:miter lim="800000"/>
                          <a:headEnd/>
                          <a:tailEnd/>
                        </a:ln>
                      </pic:spPr>
                    </pic:pic>
                  </a:graphicData>
                </a:graphic>
              </wp:anchor>
            </w:drawing>
          </w:r>
        </w:p>
      </w:tc>
      <w:tc>
        <w:tcPr>
          <w:tcW w:w="801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9E3189">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SOP No.: </w:t>
          </w:r>
        </w:p>
      </w:tc>
      <w:tc>
        <w:tcPr>
          <w:tcW w:w="2403" w:type="dxa"/>
          <w:vAlign w:val="center"/>
        </w:tcPr>
        <w:p w:rsidR="0004260C" w:rsidRPr="007D7C90" w:rsidRDefault="002C4484" w:rsidP="00491666">
          <w:r>
            <w:t>SOP-</w:t>
          </w:r>
          <w:r w:rsidR="00491666">
            <w:t>QC</w:t>
          </w:r>
          <w:r>
            <w:t>-0</w:t>
          </w:r>
          <w:r w:rsidR="00491666">
            <w:t>24</w:t>
          </w:r>
          <w:r>
            <w:t>-0</w:t>
          </w:r>
          <w:r w:rsidR="0055360C">
            <w:t>5</w:t>
          </w:r>
          <w:r w:rsidRPr="00317F12">
            <w:t xml:space="preserve">                </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6C2483" w:rsidP="006C2483">
          <w:pPr>
            <w:jc w:val="center"/>
          </w:pPr>
          <w:r>
            <w:t>0</w:t>
          </w:r>
          <w:r w:rsidR="00147C2C">
            <w:t>1</w:t>
          </w:r>
          <w:r w:rsidR="0004260C">
            <w:t>.</w:t>
          </w:r>
          <w:r>
            <w:t>0</w:t>
          </w:r>
          <w:r w:rsidR="0004260C">
            <w:t>1</w:t>
          </w:r>
          <w:r w:rsidR="0004260C" w:rsidRPr="007D7C90">
            <w:t>.201</w:t>
          </w:r>
          <w:r>
            <w:t>7</w:t>
          </w:r>
        </w:p>
      </w:tc>
    </w:tr>
    <w:tr w:rsidR="0004260C" w:rsidRPr="007D7C90" w:rsidTr="009E3189">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Supersedes : </w:t>
          </w:r>
        </w:p>
      </w:tc>
      <w:tc>
        <w:tcPr>
          <w:tcW w:w="2403" w:type="dxa"/>
          <w:vAlign w:val="center"/>
        </w:tcPr>
        <w:p w:rsidR="0004260C" w:rsidRPr="007D7C90" w:rsidRDefault="0055360C" w:rsidP="00491666">
          <w:r>
            <w:t>SOP-QC-024-04</w:t>
          </w:r>
          <w:r w:rsidRPr="00317F12">
            <w:t xml:space="preserve">                </w:t>
          </w:r>
        </w:p>
      </w:tc>
      <w:tc>
        <w:tcPr>
          <w:tcW w:w="2115" w:type="dxa"/>
          <w:vAlign w:val="center"/>
        </w:tcPr>
        <w:p w:rsidR="0004260C" w:rsidRPr="007D7C90" w:rsidRDefault="0004260C" w:rsidP="00066343">
          <w:r w:rsidRPr="007D7C90">
            <w:t>Next Review Date:</w:t>
          </w:r>
        </w:p>
      </w:tc>
      <w:tc>
        <w:tcPr>
          <w:tcW w:w="1836" w:type="dxa"/>
          <w:vAlign w:val="center"/>
        </w:tcPr>
        <w:p w:rsidR="0004260C" w:rsidRPr="007D7C90" w:rsidRDefault="006C2483" w:rsidP="006C2483">
          <w:pPr>
            <w:jc w:val="center"/>
          </w:pPr>
          <w:r>
            <w:t>3</w:t>
          </w:r>
          <w:r w:rsidR="00147C2C">
            <w:t>1</w:t>
          </w:r>
          <w:r w:rsidR="0004260C" w:rsidRPr="007D7C90">
            <w:t>.</w:t>
          </w:r>
          <w:r>
            <w:t>12</w:t>
          </w:r>
          <w:r w:rsidR="0004260C" w:rsidRPr="007D7C90">
            <w:t>.20</w:t>
          </w:r>
          <w:r>
            <w:t>19</w:t>
          </w:r>
        </w:p>
      </w:tc>
    </w:tr>
    <w:tr w:rsidR="0004260C" w:rsidRPr="007D7C90" w:rsidTr="009E3189">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Department:</w:t>
          </w:r>
        </w:p>
      </w:tc>
      <w:tc>
        <w:tcPr>
          <w:tcW w:w="2403" w:type="dxa"/>
          <w:vAlign w:val="center"/>
        </w:tcPr>
        <w:p w:rsidR="0004260C" w:rsidRPr="007D7C90" w:rsidRDefault="00491666" w:rsidP="00F356D0">
          <w:r>
            <w:t>Quality Control</w:t>
          </w:r>
        </w:p>
      </w:tc>
      <w:tc>
        <w:tcPr>
          <w:tcW w:w="2115" w:type="dxa"/>
          <w:vAlign w:val="center"/>
        </w:tcPr>
        <w:p w:rsidR="0004260C" w:rsidRPr="007D7C90" w:rsidRDefault="0004260C" w:rsidP="00066343">
          <w:r w:rsidRPr="007D7C90">
            <w:t>Page:</w:t>
          </w:r>
        </w:p>
      </w:tc>
      <w:tc>
        <w:tcPr>
          <w:tcW w:w="1836" w:type="dxa"/>
          <w:vAlign w:val="center"/>
        </w:tcPr>
        <w:p w:rsidR="0004260C" w:rsidRPr="007D7C90" w:rsidRDefault="00ED3783" w:rsidP="00066343">
          <w:pPr>
            <w:jc w:val="center"/>
          </w:pPr>
          <w:r w:rsidRPr="007D7C90">
            <w:fldChar w:fldCharType="begin"/>
          </w:r>
          <w:r w:rsidR="0004260C" w:rsidRPr="007D7C90">
            <w:instrText xml:space="preserve"> PAGE </w:instrText>
          </w:r>
          <w:r w:rsidRPr="007D7C90">
            <w:fldChar w:fldCharType="separate"/>
          </w:r>
          <w:r w:rsidR="00E12BB0">
            <w:rPr>
              <w:noProof/>
            </w:rPr>
            <w:t>1</w:t>
          </w:r>
          <w:r w:rsidRPr="007D7C90">
            <w:fldChar w:fldCharType="end"/>
          </w:r>
          <w:r w:rsidR="0004260C" w:rsidRPr="007D7C90">
            <w:t xml:space="preserve"> of </w:t>
          </w:r>
          <w:r w:rsidRPr="007D7C90">
            <w:fldChar w:fldCharType="begin"/>
          </w:r>
          <w:r w:rsidR="0004260C" w:rsidRPr="007D7C90">
            <w:instrText xml:space="preserve"> NUMPAGES </w:instrText>
          </w:r>
          <w:r w:rsidRPr="007D7C90">
            <w:fldChar w:fldCharType="separate"/>
          </w:r>
          <w:r w:rsidR="00E12BB0">
            <w:rPr>
              <w:noProof/>
            </w:rPr>
            <w:t>1</w:t>
          </w:r>
          <w:r w:rsidRPr="007D7C90">
            <w:fldChar w:fldCharType="end"/>
          </w:r>
        </w:p>
      </w:tc>
    </w:tr>
    <w:tr w:rsidR="0004260C" w:rsidRPr="007D7C90" w:rsidTr="009E3189">
      <w:trPr>
        <w:cantSplit/>
        <w:trHeight w:val="432"/>
      </w:trPr>
      <w:tc>
        <w:tcPr>
          <w:tcW w:w="10152" w:type="dxa"/>
          <w:gridSpan w:val="5"/>
          <w:vAlign w:val="center"/>
        </w:tcPr>
        <w:p w:rsidR="0004260C" w:rsidRPr="007D7C90" w:rsidRDefault="0004260C" w:rsidP="00FC7D15">
          <w:pPr>
            <w:ind w:left="936" w:hanging="936"/>
            <w:jc w:val="both"/>
            <w:rPr>
              <w:b/>
            </w:rPr>
          </w:pPr>
          <w:r w:rsidRPr="007D7C90">
            <w:rPr>
              <w:b/>
            </w:rPr>
            <w:t xml:space="preserve">TITLE: </w:t>
          </w:r>
          <w:r w:rsidR="00FC7D15">
            <w:rPr>
              <w:b/>
            </w:rPr>
            <w:t>ANALYST QUALIFICATION</w:t>
          </w:r>
        </w:p>
      </w:tc>
    </w:tr>
  </w:tbl>
  <w:p w:rsidR="0004260C" w:rsidRPr="0004260C" w:rsidRDefault="0004260C" w:rsidP="0004260C">
    <w:pPr>
      <w:pStyle w:val="Header"/>
      <w:jc w:val="both"/>
      <w:rPr>
        <w:sz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ED3783" w:rsidP="007D7C90">
          <w:pPr>
            <w:jc w:val="center"/>
          </w:pPr>
          <w:fldSimple w:instr=" PAGE ">
            <w:r w:rsidR="005251EA">
              <w:rPr>
                <w:noProof/>
              </w:rPr>
              <w:t>1</w:t>
            </w:r>
          </w:fldSimple>
          <w:r w:rsidR="007D7C90" w:rsidRPr="007D7C90">
            <w:t xml:space="preserve"> of </w:t>
          </w:r>
          <w:fldSimple w:instr=" NUMPAGES ">
            <w:r w:rsidR="00902911">
              <w:rPr>
                <w:noProof/>
              </w:rPr>
              <w:t>6</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26FD0"/>
    <w:multiLevelType w:val="hybridMultilevel"/>
    <w:tmpl w:val="B0B807AE"/>
    <w:lvl w:ilvl="0" w:tplc="40545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914F7"/>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A65EA"/>
    <w:multiLevelType w:val="hybridMultilevel"/>
    <w:tmpl w:val="3F7AA666"/>
    <w:lvl w:ilvl="0" w:tplc="B8BC9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244242"/>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B4DD2"/>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F22EE"/>
    <w:multiLevelType w:val="multilevel"/>
    <w:tmpl w:val="A19678BE"/>
    <w:lvl w:ilvl="0">
      <w:start w:val="1"/>
      <w:numFmt w:val="decimal"/>
      <w:lvlText w:val="%1.0"/>
      <w:lvlJc w:val="left"/>
      <w:pPr>
        <w:ind w:left="360" w:hanging="360"/>
      </w:pPr>
      <w:rPr>
        <w:rFonts w:hint="default"/>
        <w:b/>
        <w:color w:val="000000"/>
      </w:rPr>
    </w:lvl>
    <w:lvl w:ilvl="1">
      <w:start w:val="1"/>
      <w:numFmt w:val="decimal"/>
      <w:lvlText w:val="%1.%2"/>
      <w:lvlJc w:val="left"/>
      <w:pPr>
        <w:ind w:left="1080" w:hanging="360"/>
      </w:pPr>
      <w:rPr>
        <w:rFonts w:hint="default"/>
        <w:b w:val="0"/>
        <w:i w:val="0"/>
        <w:color w:val="000000"/>
        <w:sz w:val="24"/>
        <w:szCs w:val="24"/>
      </w:rPr>
    </w:lvl>
    <w:lvl w:ilvl="2">
      <w:start w:val="1"/>
      <w:numFmt w:val="decimal"/>
      <w:lvlText w:val="%1.%2.%3"/>
      <w:lvlJc w:val="left"/>
      <w:pPr>
        <w:ind w:left="2250" w:hanging="720"/>
      </w:pPr>
      <w:rPr>
        <w:rFonts w:hint="default"/>
        <w:b w:val="0"/>
        <w:color w:val="000000"/>
      </w:rPr>
    </w:lvl>
    <w:lvl w:ilvl="3">
      <w:start w:val="1"/>
      <w:numFmt w:val="decimal"/>
      <w:lvlText w:val="%1.%2.%3.%4"/>
      <w:lvlJc w:val="left"/>
      <w:pPr>
        <w:ind w:left="2880" w:hanging="72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4680" w:hanging="108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480" w:hanging="1440"/>
      </w:pPr>
      <w:rPr>
        <w:rFonts w:hint="default"/>
        <w:b/>
        <w:color w:val="000000"/>
      </w:rPr>
    </w:lvl>
    <w:lvl w:ilvl="8">
      <w:start w:val="1"/>
      <w:numFmt w:val="decimal"/>
      <w:lvlText w:val="%1.%2.%3.%4.%5.%6.%7.%8.%9"/>
      <w:lvlJc w:val="left"/>
      <w:pPr>
        <w:ind w:left="7560" w:hanging="1800"/>
      </w:pPr>
      <w:rPr>
        <w:rFonts w:hint="default"/>
        <w:b/>
        <w:color w:val="000000"/>
      </w:rPr>
    </w:lvl>
  </w:abstractNum>
  <w:abstractNum w:abstractNumId="6">
    <w:nsid w:val="661805E6"/>
    <w:multiLevelType w:val="multilevel"/>
    <w:tmpl w:val="4D34527A"/>
    <w:lvl w:ilvl="0">
      <w:start w:val="1"/>
      <w:numFmt w:val="decimal"/>
      <w:lvlText w:val="%1"/>
      <w:lvlJc w:val="left"/>
      <w:pPr>
        <w:ind w:left="144" w:hanging="144"/>
      </w:pPr>
      <w:rPr>
        <w:rFonts w:hint="default"/>
        <w:sz w:val="24"/>
      </w:rPr>
    </w:lvl>
    <w:lvl w:ilvl="1">
      <w:start w:val="1"/>
      <w:numFmt w:val="decimal"/>
      <w:lvlText w:val="%1.%2"/>
      <w:lvlJc w:val="left"/>
      <w:pPr>
        <w:ind w:left="1145" w:hanging="720"/>
      </w:pPr>
      <w:rPr>
        <w:rFonts w:hint="default"/>
        <w:b w:val="0"/>
        <w:color w:val="auto"/>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num w:numId="1">
    <w:abstractNumId w:val="7"/>
  </w:num>
  <w:num w:numId="2">
    <w:abstractNumId w:val="4"/>
  </w:num>
  <w:num w:numId="3">
    <w:abstractNumId w:val="3"/>
  </w:num>
  <w:num w:numId="4">
    <w:abstractNumId w:val="1"/>
  </w:num>
  <w:num w:numId="5">
    <w:abstractNumId w:val="5"/>
  </w:num>
  <w:num w:numId="6">
    <w:abstractNumId w:val="6"/>
  </w:num>
  <w:num w:numId="7">
    <w:abstractNumId w:val="0"/>
  </w:num>
  <w:num w:numId="8">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savePreviewPicture/>
  <w:hdrShapeDefaults>
    <o:shapedefaults v:ext="edit" spidmax="571394">
      <o:colormenu v:ext="edit" strokecolor="none"/>
    </o:shapedefaults>
  </w:hdrShapeDefaults>
  <w:footnotePr>
    <w:footnote w:id="0"/>
    <w:footnote w:id="1"/>
  </w:footnotePr>
  <w:endnotePr>
    <w:endnote w:id="0"/>
    <w:endnote w:id="1"/>
  </w:endnotePr>
  <w:compat/>
  <w:rsids>
    <w:rsidRoot w:val="00DE6D09"/>
    <w:rsid w:val="00000D20"/>
    <w:rsid w:val="00003100"/>
    <w:rsid w:val="000036BD"/>
    <w:rsid w:val="000043BC"/>
    <w:rsid w:val="00004645"/>
    <w:rsid w:val="00005006"/>
    <w:rsid w:val="000055BD"/>
    <w:rsid w:val="000072A9"/>
    <w:rsid w:val="0000739E"/>
    <w:rsid w:val="000075D0"/>
    <w:rsid w:val="00010B80"/>
    <w:rsid w:val="000115BB"/>
    <w:rsid w:val="00012892"/>
    <w:rsid w:val="00014E93"/>
    <w:rsid w:val="00015598"/>
    <w:rsid w:val="0001625F"/>
    <w:rsid w:val="00017079"/>
    <w:rsid w:val="00017AAF"/>
    <w:rsid w:val="00020B94"/>
    <w:rsid w:val="00020CA3"/>
    <w:rsid w:val="00022909"/>
    <w:rsid w:val="00023047"/>
    <w:rsid w:val="0002390F"/>
    <w:rsid w:val="00024E7A"/>
    <w:rsid w:val="00024F54"/>
    <w:rsid w:val="00025D3C"/>
    <w:rsid w:val="0002653F"/>
    <w:rsid w:val="00026C2A"/>
    <w:rsid w:val="0002789C"/>
    <w:rsid w:val="00030477"/>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65"/>
    <w:rsid w:val="000379D1"/>
    <w:rsid w:val="00041EB1"/>
    <w:rsid w:val="000423A4"/>
    <w:rsid w:val="0004260C"/>
    <w:rsid w:val="000426CA"/>
    <w:rsid w:val="00042CDD"/>
    <w:rsid w:val="00044E65"/>
    <w:rsid w:val="00046B62"/>
    <w:rsid w:val="00047636"/>
    <w:rsid w:val="0004766C"/>
    <w:rsid w:val="00047A3D"/>
    <w:rsid w:val="00047DDA"/>
    <w:rsid w:val="00050557"/>
    <w:rsid w:val="000505E8"/>
    <w:rsid w:val="00051A6A"/>
    <w:rsid w:val="00051D3A"/>
    <w:rsid w:val="000521C8"/>
    <w:rsid w:val="000525EA"/>
    <w:rsid w:val="00053157"/>
    <w:rsid w:val="000533AF"/>
    <w:rsid w:val="00053B20"/>
    <w:rsid w:val="00055AA4"/>
    <w:rsid w:val="00056761"/>
    <w:rsid w:val="00056888"/>
    <w:rsid w:val="000568C6"/>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BBB"/>
    <w:rsid w:val="00065E11"/>
    <w:rsid w:val="00065F54"/>
    <w:rsid w:val="00066A68"/>
    <w:rsid w:val="000670DE"/>
    <w:rsid w:val="00067A78"/>
    <w:rsid w:val="000703C6"/>
    <w:rsid w:val="00071753"/>
    <w:rsid w:val="0007188B"/>
    <w:rsid w:val="00071B95"/>
    <w:rsid w:val="00072A51"/>
    <w:rsid w:val="000730AC"/>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5032"/>
    <w:rsid w:val="00096339"/>
    <w:rsid w:val="00096644"/>
    <w:rsid w:val="000967DC"/>
    <w:rsid w:val="00096806"/>
    <w:rsid w:val="0009699A"/>
    <w:rsid w:val="00096B40"/>
    <w:rsid w:val="0009764C"/>
    <w:rsid w:val="000A0157"/>
    <w:rsid w:val="000A0533"/>
    <w:rsid w:val="000A088C"/>
    <w:rsid w:val="000A3DFE"/>
    <w:rsid w:val="000A403F"/>
    <w:rsid w:val="000A4B40"/>
    <w:rsid w:val="000A4C28"/>
    <w:rsid w:val="000A5CFC"/>
    <w:rsid w:val="000A7495"/>
    <w:rsid w:val="000A7758"/>
    <w:rsid w:val="000A77B3"/>
    <w:rsid w:val="000A79AC"/>
    <w:rsid w:val="000B048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07B1"/>
    <w:rsid w:val="000C1087"/>
    <w:rsid w:val="000C163B"/>
    <w:rsid w:val="000C21E1"/>
    <w:rsid w:val="000C263F"/>
    <w:rsid w:val="000C2C1E"/>
    <w:rsid w:val="000C3087"/>
    <w:rsid w:val="000C311E"/>
    <w:rsid w:val="000C33D2"/>
    <w:rsid w:val="000C4010"/>
    <w:rsid w:val="000C43F1"/>
    <w:rsid w:val="000C54BB"/>
    <w:rsid w:val="000C574D"/>
    <w:rsid w:val="000C67AD"/>
    <w:rsid w:val="000C67DE"/>
    <w:rsid w:val="000C6B64"/>
    <w:rsid w:val="000C7A7D"/>
    <w:rsid w:val="000C7BFD"/>
    <w:rsid w:val="000C7EFC"/>
    <w:rsid w:val="000D1F64"/>
    <w:rsid w:val="000D24D0"/>
    <w:rsid w:val="000D2AFD"/>
    <w:rsid w:val="000D2FD5"/>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5D04"/>
    <w:rsid w:val="000F7932"/>
    <w:rsid w:val="000F7BD7"/>
    <w:rsid w:val="000F7E40"/>
    <w:rsid w:val="001014C7"/>
    <w:rsid w:val="0010193F"/>
    <w:rsid w:val="00101C2A"/>
    <w:rsid w:val="00101E81"/>
    <w:rsid w:val="0010230E"/>
    <w:rsid w:val="00102AA0"/>
    <w:rsid w:val="00102F94"/>
    <w:rsid w:val="00103887"/>
    <w:rsid w:val="00103929"/>
    <w:rsid w:val="00103F86"/>
    <w:rsid w:val="00104ECB"/>
    <w:rsid w:val="00105401"/>
    <w:rsid w:val="0010690B"/>
    <w:rsid w:val="00106D37"/>
    <w:rsid w:val="00107275"/>
    <w:rsid w:val="00107359"/>
    <w:rsid w:val="00111C68"/>
    <w:rsid w:val="00111E3A"/>
    <w:rsid w:val="00113018"/>
    <w:rsid w:val="00113906"/>
    <w:rsid w:val="00113D8B"/>
    <w:rsid w:val="001146DE"/>
    <w:rsid w:val="00114BEF"/>
    <w:rsid w:val="00115109"/>
    <w:rsid w:val="0011540D"/>
    <w:rsid w:val="00115976"/>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5F8B"/>
    <w:rsid w:val="00126691"/>
    <w:rsid w:val="00127AED"/>
    <w:rsid w:val="00130AC1"/>
    <w:rsid w:val="0013143D"/>
    <w:rsid w:val="00131951"/>
    <w:rsid w:val="00132914"/>
    <w:rsid w:val="00132B96"/>
    <w:rsid w:val="00132FAC"/>
    <w:rsid w:val="00133A1A"/>
    <w:rsid w:val="00133B1F"/>
    <w:rsid w:val="00134711"/>
    <w:rsid w:val="00134E33"/>
    <w:rsid w:val="00135094"/>
    <w:rsid w:val="00135BAF"/>
    <w:rsid w:val="00135F1A"/>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2A"/>
    <w:rsid w:val="00146F99"/>
    <w:rsid w:val="00147922"/>
    <w:rsid w:val="00147C2C"/>
    <w:rsid w:val="0015006E"/>
    <w:rsid w:val="001506BD"/>
    <w:rsid w:val="00150992"/>
    <w:rsid w:val="001514AA"/>
    <w:rsid w:val="0015196B"/>
    <w:rsid w:val="00151EF8"/>
    <w:rsid w:val="0015267D"/>
    <w:rsid w:val="001528E4"/>
    <w:rsid w:val="00154967"/>
    <w:rsid w:val="00155676"/>
    <w:rsid w:val="0015573E"/>
    <w:rsid w:val="001567D1"/>
    <w:rsid w:val="00156C25"/>
    <w:rsid w:val="001574FA"/>
    <w:rsid w:val="00160536"/>
    <w:rsid w:val="00160C31"/>
    <w:rsid w:val="00162192"/>
    <w:rsid w:val="0016252B"/>
    <w:rsid w:val="0016388F"/>
    <w:rsid w:val="001639AC"/>
    <w:rsid w:val="00163BE5"/>
    <w:rsid w:val="00164730"/>
    <w:rsid w:val="001672DE"/>
    <w:rsid w:val="001716C9"/>
    <w:rsid w:val="00171C4B"/>
    <w:rsid w:val="00172349"/>
    <w:rsid w:val="00172D6C"/>
    <w:rsid w:val="00172F32"/>
    <w:rsid w:val="001750CA"/>
    <w:rsid w:val="00175101"/>
    <w:rsid w:val="001760D7"/>
    <w:rsid w:val="0017660C"/>
    <w:rsid w:val="00176BC9"/>
    <w:rsid w:val="00176C52"/>
    <w:rsid w:val="00176C56"/>
    <w:rsid w:val="001772CA"/>
    <w:rsid w:val="00177A71"/>
    <w:rsid w:val="001801F3"/>
    <w:rsid w:val="00181013"/>
    <w:rsid w:val="00181945"/>
    <w:rsid w:val="001819AA"/>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971"/>
    <w:rsid w:val="001959BC"/>
    <w:rsid w:val="00195E5C"/>
    <w:rsid w:val="001968B4"/>
    <w:rsid w:val="001A0BF6"/>
    <w:rsid w:val="001A0EFA"/>
    <w:rsid w:val="001A13A9"/>
    <w:rsid w:val="001A14AD"/>
    <w:rsid w:val="001A2AF0"/>
    <w:rsid w:val="001A2E60"/>
    <w:rsid w:val="001A2FF9"/>
    <w:rsid w:val="001A494F"/>
    <w:rsid w:val="001A5AC7"/>
    <w:rsid w:val="001A5B42"/>
    <w:rsid w:val="001A60A7"/>
    <w:rsid w:val="001A63C8"/>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061"/>
    <w:rsid w:val="001C32F4"/>
    <w:rsid w:val="001C43E7"/>
    <w:rsid w:val="001C45BC"/>
    <w:rsid w:val="001C46B1"/>
    <w:rsid w:val="001C4FF4"/>
    <w:rsid w:val="001C529E"/>
    <w:rsid w:val="001C5363"/>
    <w:rsid w:val="001C5481"/>
    <w:rsid w:val="001C64DC"/>
    <w:rsid w:val="001C6CEC"/>
    <w:rsid w:val="001D1438"/>
    <w:rsid w:val="001D199D"/>
    <w:rsid w:val="001D1D38"/>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0F1E"/>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1588"/>
    <w:rsid w:val="002227EC"/>
    <w:rsid w:val="00223224"/>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5DF5"/>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A94"/>
    <w:rsid w:val="00272E85"/>
    <w:rsid w:val="002733A8"/>
    <w:rsid w:val="002754D8"/>
    <w:rsid w:val="00275992"/>
    <w:rsid w:val="0027684B"/>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6B3C"/>
    <w:rsid w:val="00297838"/>
    <w:rsid w:val="00297D02"/>
    <w:rsid w:val="00297FC5"/>
    <w:rsid w:val="002A023F"/>
    <w:rsid w:val="002A02A4"/>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07B"/>
    <w:rsid w:val="002B23B6"/>
    <w:rsid w:val="002B30F0"/>
    <w:rsid w:val="002B3948"/>
    <w:rsid w:val="002B3B24"/>
    <w:rsid w:val="002B3EA4"/>
    <w:rsid w:val="002B51DE"/>
    <w:rsid w:val="002B59A2"/>
    <w:rsid w:val="002B64FB"/>
    <w:rsid w:val="002B664E"/>
    <w:rsid w:val="002B6760"/>
    <w:rsid w:val="002B68D2"/>
    <w:rsid w:val="002B6D1D"/>
    <w:rsid w:val="002C14A9"/>
    <w:rsid w:val="002C192B"/>
    <w:rsid w:val="002C2784"/>
    <w:rsid w:val="002C29DB"/>
    <w:rsid w:val="002C2CD9"/>
    <w:rsid w:val="002C4484"/>
    <w:rsid w:val="002C462C"/>
    <w:rsid w:val="002C5DEB"/>
    <w:rsid w:val="002C64D9"/>
    <w:rsid w:val="002C72AB"/>
    <w:rsid w:val="002D0091"/>
    <w:rsid w:val="002D0E9F"/>
    <w:rsid w:val="002D105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B2F"/>
    <w:rsid w:val="002F307E"/>
    <w:rsid w:val="002F33FF"/>
    <w:rsid w:val="002F3CC5"/>
    <w:rsid w:val="002F3E31"/>
    <w:rsid w:val="002F5126"/>
    <w:rsid w:val="002F5133"/>
    <w:rsid w:val="002F53C4"/>
    <w:rsid w:val="002F7BE9"/>
    <w:rsid w:val="00300D42"/>
    <w:rsid w:val="00301374"/>
    <w:rsid w:val="0030236B"/>
    <w:rsid w:val="003029EE"/>
    <w:rsid w:val="00302A3E"/>
    <w:rsid w:val="00303CDD"/>
    <w:rsid w:val="0030660A"/>
    <w:rsid w:val="00306F77"/>
    <w:rsid w:val="00307C43"/>
    <w:rsid w:val="003101A4"/>
    <w:rsid w:val="003108CC"/>
    <w:rsid w:val="00310931"/>
    <w:rsid w:val="003114C3"/>
    <w:rsid w:val="00311672"/>
    <w:rsid w:val="003123DD"/>
    <w:rsid w:val="0031264D"/>
    <w:rsid w:val="003127E7"/>
    <w:rsid w:val="00312E42"/>
    <w:rsid w:val="00313935"/>
    <w:rsid w:val="00313D33"/>
    <w:rsid w:val="003145AA"/>
    <w:rsid w:val="00314964"/>
    <w:rsid w:val="00314AEE"/>
    <w:rsid w:val="00314B2A"/>
    <w:rsid w:val="00314B66"/>
    <w:rsid w:val="003154CA"/>
    <w:rsid w:val="00315565"/>
    <w:rsid w:val="0031770D"/>
    <w:rsid w:val="00320AAE"/>
    <w:rsid w:val="003224D8"/>
    <w:rsid w:val="003230A1"/>
    <w:rsid w:val="003233B7"/>
    <w:rsid w:val="003236D2"/>
    <w:rsid w:val="00324484"/>
    <w:rsid w:val="00324EE0"/>
    <w:rsid w:val="00325115"/>
    <w:rsid w:val="00325EB0"/>
    <w:rsid w:val="00327339"/>
    <w:rsid w:val="00327451"/>
    <w:rsid w:val="00330084"/>
    <w:rsid w:val="003302F0"/>
    <w:rsid w:val="0033122E"/>
    <w:rsid w:val="003315C8"/>
    <w:rsid w:val="0033207D"/>
    <w:rsid w:val="00332608"/>
    <w:rsid w:val="00332D4F"/>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078B"/>
    <w:rsid w:val="003522D4"/>
    <w:rsid w:val="003523DC"/>
    <w:rsid w:val="00352ACF"/>
    <w:rsid w:val="0035308F"/>
    <w:rsid w:val="003539FF"/>
    <w:rsid w:val="00353B04"/>
    <w:rsid w:val="003544A9"/>
    <w:rsid w:val="0035453C"/>
    <w:rsid w:val="00354DD5"/>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425B"/>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8D2"/>
    <w:rsid w:val="003A49E0"/>
    <w:rsid w:val="003A4BF3"/>
    <w:rsid w:val="003A601E"/>
    <w:rsid w:val="003A6191"/>
    <w:rsid w:val="003A69D9"/>
    <w:rsid w:val="003A6B3D"/>
    <w:rsid w:val="003A6DC6"/>
    <w:rsid w:val="003A71AA"/>
    <w:rsid w:val="003A76DF"/>
    <w:rsid w:val="003B0E10"/>
    <w:rsid w:val="003B1D33"/>
    <w:rsid w:val="003B2FA8"/>
    <w:rsid w:val="003B37EE"/>
    <w:rsid w:val="003B3AA5"/>
    <w:rsid w:val="003B4EBC"/>
    <w:rsid w:val="003B5274"/>
    <w:rsid w:val="003B5541"/>
    <w:rsid w:val="003B6629"/>
    <w:rsid w:val="003B7ADC"/>
    <w:rsid w:val="003C05BC"/>
    <w:rsid w:val="003C1F3E"/>
    <w:rsid w:val="003C25CD"/>
    <w:rsid w:val="003C3154"/>
    <w:rsid w:val="003C346D"/>
    <w:rsid w:val="003C38EE"/>
    <w:rsid w:val="003C41AE"/>
    <w:rsid w:val="003C4F55"/>
    <w:rsid w:val="003C56E1"/>
    <w:rsid w:val="003C6D21"/>
    <w:rsid w:val="003C7902"/>
    <w:rsid w:val="003C7EC3"/>
    <w:rsid w:val="003D147C"/>
    <w:rsid w:val="003D2572"/>
    <w:rsid w:val="003D2598"/>
    <w:rsid w:val="003D261F"/>
    <w:rsid w:val="003D366B"/>
    <w:rsid w:val="003D4297"/>
    <w:rsid w:val="003D46D6"/>
    <w:rsid w:val="003D49BF"/>
    <w:rsid w:val="003D4E28"/>
    <w:rsid w:val="003D6056"/>
    <w:rsid w:val="003D613D"/>
    <w:rsid w:val="003D63E3"/>
    <w:rsid w:val="003D6D89"/>
    <w:rsid w:val="003D6E5E"/>
    <w:rsid w:val="003D714B"/>
    <w:rsid w:val="003D74C7"/>
    <w:rsid w:val="003D76F5"/>
    <w:rsid w:val="003E0223"/>
    <w:rsid w:val="003E0A01"/>
    <w:rsid w:val="003E2EA9"/>
    <w:rsid w:val="003E3167"/>
    <w:rsid w:val="003E324A"/>
    <w:rsid w:val="003E4665"/>
    <w:rsid w:val="003E4816"/>
    <w:rsid w:val="003E5B19"/>
    <w:rsid w:val="003E626E"/>
    <w:rsid w:val="003E675F"/>
    <w:rsid w:val="003F03C1"/>
    <w:rsid w:val="003F164D"/>
    <w:rsid w:val="003F1BD5"/>
    <w:rsid w:val="003F2010"/>
    <w:rsid w:val="003F22BA"/>
    <w:rsid w:val="003F22FA"/>
    <w:rsid w:val="003F2D52"/>
    <w:rsid w:val="003F358D"/>
    <w:rsid w:val="003F4361"/>
    <w:rsid w:val="003F43CA"/>
    <w:rsid w:val="003F4949"/>
    <w:rsid w:val="003F5155"/>
    <w:rsid w:val="003F5AFB"/>
    <w:rsid w:val="00401B8E"/>
    <w:rsid w:val="00402171"/>
    <w:rsid w:val="00403183"/>
    <w:rsid w:val="00403B61"/>
    <w:rsid w:val="00403D5D"/>
    <w:rsid w:val="0040518E"/>
    <w:rsid w:val="00405507"/>
    <w:rsid w:val="00405B44"/>
    <w:rsid w:val="00405C26"/>
    <w:rsid w:val="00406968"/>
    <w:rsid w:val="00406F79"/>
    <w:rsid w:val="00407978"/>
    <w:rsid w:val="00407D00"/>
    <w:rsid w:val="00407D16"/>
    <w:rsid w:val="00411573"/>
    <w:rsid w:val="00411B7A"/>
    <w:rsid w:val="00412C9A"/>
    <w:rsid w:val="00413C2F"/>
    <w:rsid w:val="00413DFE"/>
    <w:rsid w:val="00414710"/>
    <w:rsid w:val="004149FA"/>
    <w:rsid w:val="00415E29"/>
    <w:rsid w:val="0041641E"/>
    <w:rsid w:val="004167C1"/>
    <w:rsid w:val="004205B0"/>
    <w:rsid w:val="00420C6F"/>
    <w:rsid w:val="00421328"/>
    <w:rsid w:val="00421D11"/>
    <w:rsid w:val="00424559"/>
    <w:rsid w:val="00424783"/>
    <w:rsid w:val="004249DF"/>
    <w:rsid w:val="004252EB"/>
    <w:rsid w:val="0042548D"/>
    <w:rsid w:val="00426047"/>
    <w:rsid w:val="00427146"/>
    <w:rsid w:val="0042720B"/>
    <w:rsid w:val="00427C37"/>
    <w:rsid w:val="004309A2"/>
    <w:rsid w:val="00431616"/>
    <w:rsid w:val="00431AAD"/>
    <w:rsid w:val="004330CA"/>
    <w:rsid w:val="004337E9"/>
    <w:rsid w:val="0043453F"/>
    <w:rsid w:val="00435F1C"/>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57D"/>
    <w:rsid w:val="00447618"/>
    <w:rsid w:val="004476A5"/>
    <w:rsid w:val="004507F2"/>
    <w:rsid w:val="00450850"/>
    <w:rsid w:val="00452509"/>
    <w:rsid w:val="0045278F"/>
    <w:rsid w:val="00453EB5"/>
    <w:rsid w:val="00454010"/>
    <w:rsid w:val="00454605"/>
    <w:rsid w:val="0045572F"/>
    <w:rsid w:val="00455957"/>
    <w:rsid w:val="00456257"/>
    <w:rsid w:val="00456C48"/>
    <w:rsid w:val="00457A42"/>
    <w:rsid w:val="004600B9"/>
    <w:rsid w:val="00460925"/>
    <w:rsid w:val="0046316C"/>
    <w:rsid w:val="00464063"/>
    <w:rsid w:val="004642A7"/>
    <w:rsid w:val="00464A4A"/>
    <w:rsid w:val="004672E5"/>
    <w:rsid w:val="00470EB5"/>
    <w:rsid w:val="0047297D"/>
    <w:rsid w:val="00473E37"/>
    <w:rsid w:val="00473F69"/>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075"/>
    <w:rsid w:val="0048366C"/>
    <w:rsid w:val="00483D2F"/>
    <w:rsid w:val="004844EA"/>
    <w:rsid w:val="004854FE"/>
    <w:rsid w:val="00486134"/>
    <w:rsid w:val="004865AE"/>
    <w:rsid w:val="00486898"/>
    <w:rsid w:val="0048704E"/>
    <w:rsid w:val="00487197"/>
    <w:rsid w:val="004873D9"/>
    <w:rsid w:val="00487704"/>
    <w:rsid w:val="00490E95"/>
    <w:rsid w:val="00490F5C"/>
    <w:rsid w:val="00491117"/>
    <w:rsid w:val="00491666"/>
    <w:rsid w:val="00492024"/>
    <w:rsid w:val="004937B3"/>
    <w:rsid w:val="00493B2F"/>
    <w:rsid w:val="00493D1F"/>
    <w:rsid w:val="00493E9F"/>
    <w:rsid w:val="00494419"/>
    <w:rsid w:val="00494C4A"/>
    <w:rsid w:val="00495057"/>
    <w:rsid w:val="004952CE"/>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3B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446"/>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606"/>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25FA"/>
    <w:rsid w:val="00503A30"/>
    <w:rsid w:val="00504689"/>
    <w:rsid w:val="00504ABA"/>
    <w:rsid w:val="00504B0E"/>
    <w:rsid w:val="0050513B"/>
    <w:rsid w:val="00505448"/>
    <w:rsid w:val="00506162"/>
    <w:rsid w:val="005063D2"/>
    <w:rsid w:val="00507D1A"/>
    <w:rsid w:val="00510B17"/>
    <w:rsid w:val="005124BB"/>
    <w:rsid w:val="00512C2D"/>
    <w:rsid w:val="0051345A"/>
    <w:rsid w:val="005134E9"/>
    <w:rsid w:val="00513926"/>
    <w:rsid w:val="00514AE3"/>
    <w:rsid w:val="00514EDB"/>
    <w:rsid w:val="00514FE0"/>
    <w:rsid w:val="005154AE"/>
    <w:rsid w:val="00515707"/>
    <w:rsid w:val="0051578D"/>
    <w:rsid w:val="00515B62"/>
    <w:rsid w:val="00516B50"/>
    <w:rsid w:val="00516DEF"/>
    <w:rsid w:val="00517413"/>
    <w:rsid w:val="0052223F"/>
    <w:rsid w:val="005224C7"/>
    <w:rsid w:val="00522D6A"/>
    <w:rsid w:val="005248EA"/>
    <w:rsid w:val="00524B76"/>
    <w:rsid w:val="00524C22"/>
    <w:rsid w:val="005251EA"/>
    <w:rsid w:val="005254A1"/>
    <w:rsid w:val="0052590C"/>
    <w:rsid w:val="00525A33"/>
    <w:rsid w:val="005261CA"/>
    <w:rsid w:val="00526431"/>
    <w:rsid w:val="00526A8C"/>
    <w:rsid w:val="00527F2D"/>
    <w:rsid w:val="00530280"/>
    <w:rsid w:val="00531A72"/>
    <w:rsid w:val="00532900"/>
    <w:rsid w:val="00533B4D"/>
    <w:rsid w:val="005341FA"/>
    <w:rsid w:val="00534806"/>
    <w:rsid w:val="00534DF6"/>
    <w:rsid w:val="0053754A"/>
    <w:rsid w:val="0053784E"/>
    <w:rsid w:val="005400F2"/>
    <w:rsid w:val="00540560"/>
    <w:rsid w:val="005405C5"/>
    <w:rsid w:val="00541035"/>
    <w:rsid w:val="005411F5"/>
    <w:rsid w:val="00541931"/>
    <w:rsid w:val="005421E4"/>
    <w:rsid w:val="005431C7"/>
    <w:rsid w:val="00545015"/>
    <w:rsid w:val="00545094"/>
    <w:rsid w:val="00545987"/>
    <w:rsid w:val="00546840"/>
    <w:rsid w:val="00546BBB"/>
    <w:rsid w:val="00546C53"/>
    <w:rsid w:val="00547385"/>
    <w:rsid w:val="00547C2D"/>
    <w:rsid w:val="00550011"/>
    <w:rsid w:val="00550565"/>
    <w:rsid w:val="00550907"/>
    <w:rsid w:val="005513F5"/>
    <w:rsid w:val="005524BE"/>
    <w:rsid w:val="00552509"/>
    <w:rsid w:val="00552A5A"/>
    <w:rsid w:val="00552FBB"/>
    <w:rsid w:val="00552FC2"/>
    <w:rsid w:val="0055360C"/>
    <w:rsid w:val="0055405B"/>
    <w:rsid w:val="00554821"/>
    <w:rsid w:val="00554CFC"/>
    <w:rsid w:val="00555961"/>
    <w:rsid w:val="00556EDF"/>
    <w:rsid w:val="005574A5"/>
    <w:rsid w:val="0055768C"/>
    <w:rsid w:val="0055797B"/>
    <w:rsid w:val="00557D32"/>
    <w:rsid w:val="00557D54"/>
    <w:rsid w:val="0056026D"/>
    <w:rsid w:val="00561F7F"/>
    <w:rsid w:val="00563D2E"/>
    <w:rsid w:val="005650C8"/>
    <w:rsid w:val="0056541B"/>
    <w:rsid w:val="005666EB"/>
    <w:rsid w:val="00566A05"/>
    <w:rsid w:val="00566FF6"/>
    <w:rsid w:val="005678D0"/>
    <w:rsid w:val="00567EAE"/>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3C6"/>
    <w:rsid w:val="00590CC2"/>
    <w:rsid w:val="00590D2F"/>
    <w:rsid w:val="00590D30"/>
    <w:rsid w:val="00590DD5"/>
    <w:rsid w:val="00591283"/>
    <w:rsid w:val="00591ED0"/>
    <w:rsid w:val="00592927"/>
    <w:rsid w:val="00592A11"/>
    <w:rsid w:val="005946B7"/>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2EC6"/>
    <w:rsid w:val="005B3EB1"/>
    <w:rsid w:val="005B43F7"/>
    <w:rsid w:val="005B4D47"/>
    <w:rsid w:val="005B5A6E"/>
    <w:rsid w:val="005B5A9B"/>
    <w:rsid w:val="005B7113"/>
    <w:rsid w:val="005B7D79"/>
    <w:rsid w:val="005C14AC"/>
    <w:rsid w:val="005C242A"/>
    <w:rsid w:val="005C2840"/>
    <w:rsid w:val="005C3DE7"/>
    <w:rsid w:val="005C3F38"/>
    <w:rsid w:val="005C4534"/>
    <w:rsid w:val="005C4935"/>
    <w:rsid w:val="005C4B4A"/>
    <w:rsid w:val="005C4CEF"/>
    <w:rsid w:val="005C52D2"/>
    <w:rsid w:val="005C5C72"/>
    <w:rsid w:val="005C5D54"/>
    <w:rsid w:val="005C6027"/>
    <w:rsid w:val="005C6C9C"/>
    <w:rsid w:val="005C7115"/>
    <w:rsid w:val="005C7BBF"/>
    <w:rsid w:val="005C7D7B"/>
    <w:rsid w:val="005C7F41"/>
    <w:rsid w:val="005C7FB1"/>
    <w:rsid w:val="005D002B"/>
    <w:rsid w:val="005D04B4"/>
    <w:rsid w:val="005D295E"/>
    <w:rsid w:val="005D4E09"/>
    <w:rsid w:val="005D54FE"/>
    <w:rsid w:val="005D57BF"/>
    <w:rsid w:val="005D59BE"/>
    <w:rsid w:val="005D5BB6"/>
    <w:rsid w:val="005D612C"/>
    <w:rsid w:val="005D6AF0"/>
    <w:rsid w:val="005D6D1C"/>
    <w:rsid w:val="005D6DDF"/>
    <w:rsid w:val="005D78FA"/>
    <w:rsid w:val="005D7D12"/>
    <w:rsid w:val="005D7D6E"/>
    <w:rsid w:val="005E0E3B"/>
    <w:rsid w:val="005E0E8C"/>
    <w:rsid w:val="005E36AB"/>
    <w:rsid w:val="005E3CF3"/>
    <w:rsid w:val="005E4A4B"/>
    <w:rsid w:val="005E581F"/>
    <w:rsid w:val="005E5EFD"/>
    <w:rsid w:val="005F000D"/>
    <w:rsid w:val="005F02BD"/>
    <w:rsid w:val="005F07A7"/>
    <w:rsid w:val="005F21CB"/>
    <w:rsid w:val="005F35B7"/>
    <w:rsid w:val="005F371C"/>
    <w:rsid w:val="005F4831"/>
    <w:rsid w:val="005F4A0B"/>
    <w:rsid w:val="005F548B"/>
    <w:rsid w:val="005F5E1B"/>
    <w:rsid w:val="005F5FF6"/>
    <w:rsid w:val="005F6640"/>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0DE"/>
    <w:rsid w:val="00607CCB"/>
    <w:rsid w:val="00610C34"/>
    <w:rsid w:val="00611225"/>
    <w:rsid w:val="0061185C"/>
    <w:rsid w:val="006118C7"/>
    <w:rsid w:val="00611AF1"/>
    <w:rsid w:val="00611E80"/>
    <w:rsid w:val="00612395"/>
    <w:rsid w:val="00612713"/>
    <w:rsid w:val="00613E8E"/>
    <w:rsid w:val="00613F40"/>
    <w:rsid w:val="0061497A"/>
    <w:rsid w:val="006149D9"/>
    <w:rsid w:val="00616B1E"/>
    <w:rsid w:val="00617D8C"/>
    <w:rsid w:val="006202FC"/>
    <w:rsid w:val="006205DB"/>
    <w:rsid w:val="00620940"/>
    <w:rsid w:val="00624221"/>
    <w:rsid w:val="00624AA1"/>
    <w:rsid w:val="00625CA7"/>
    <w:rsid w:val="00627325"/>
    <w:rsid w:val="00627527"/>
    <w:rsid w:val="006276A1"/>
    <w:rsid w:val="00627778"/>
    <w:rsid w:val="00627D90"/>
    <w:rsid w:val="00627F5F"/>
    <w:rsid w:val="00630669"/>
    <w:rsid w:val="00630756"/>
    <w:rsid w:val="00630E4F"/>
    <w:rsid w:val="006318F3"/>
    <w:rsid w:val="006327E4"/>
    <w:rsid w:val="0063334F"/>
    <w:rsid w:val="00633747"/>
    <w:rsid w:val="00633DB3"/>
    <w:rsid w:val="00633F84"/>
    <w:rsid w:val="00634B22"/>
    <w:rsid w:val="00634DA8"/>
    <w:rsid w:val="00635B90"/>
    <w:rsid w:val="00637AD4"/>
    <w:rsid w:val="00637B35"/>
    <w:rsid w:val="00637CC9"/>
    <w:rsid w:val="00640179"/>
    <w:rsid w:val="00640574"/>
    <w:rsid w:val="00640BC1"/>
    <w:rsid w:val="0064107A"/>
    <w:rsid w:val="006410E2"/>
    <w:rsid w:val="00641218"/>
    <w:rsid w:val="006427CC"/>
    <w:rsid w:val="00645732"/>
    <w:rsid w:val="00645B0F"/>
    <w:rsid w:val="00646B68"/>
    <w:rsid w:val="00646D6B"/>
    <w:rsid w:val="00647C04"/>
    <w:rsid w:val="006513E3"/>
    <w:rsid w:val="006516A4"/>
    <w:rsid w:val="0065191E"/>
    <w:rsid w:val="00653CF4"/>
    <w:rsid w:val="00654B4D"/>
    <w:rsid w:val="00654B91"/>
    <w:rsid w:val="00654D5D"/>
    <w:rsid w:val="00655E52"/>
    <w:rsid w:val="00656177"/>
    <w:rsid w:val="00656E51"/>
    <w:rsid w:val="006578C1"/>
    <w:rsid w:val="00660187"/>
    <w:rsid w:val="0066045E"/>
    <w:rsid w:val="00660F04"/>
    <w:rsid w:val="00661711"/>
    <w:rsid w:val="006623A6"/>
    <w:rsid w:val="0066383D"/>
    <w:rsid w:val="00663A3B"/>
    <w:rsid w:val="00664140"/>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12F"/>
    <w:rsid w:val="0069222E"/>
    <w:rsid w:val="00694E42"/>
    <w:rsid w:val="006954EF"/>
    <w:rsid w:val="006956E4"/>
    <w:rsid w:val="0069604B"/>
    <w:rsid w:val="00697BD5"/>
    <w:rsid w:val="006A11F7"/>
    <w:rsid w:val="006A1330"/>
    <w:rsid w:val="006A2FF6"/>
    <w:rsid w:val="006A392B"/>
    <w:rsid w:val="006A4A9E"/>
    <w:rsid w:val="006A4B59"/>
    <w:rsid w:val="006A4E38"/>
    <w:rsid w:val="006A65D5"/>
    <w:rsid w:val="006A763B"/>
    <w:rsid w:val="006A7A63"/>
    <w:rsid w:val="006A7B5C"/>
    <w:rsid w:val="006B0CAB"/>
    <w:rsid w:val="006B1FBF"/>
    <w:rsid w:val="006B23C3"/>
    <w:rsid w:val="006B24F2"/>
    <w:rsid w:val="006B2ADA"/>
    <w:rsid w:val="006B3C54"/>
    <w:rsid w:val="006B3CFC"/>
    <w:rsid w:val="006B4F2E"/>
    <w:rsid w:val="006B5A5B"/>
    <w:rsid w:val="006B65B2"/>
    <w:rsid w:val="006B67EA"/>
    <w:rsid w:val="006B713F"/>
    <w:rsid w:val="006C1ACD"/>
    <w:rsid w:val="006C2049"/>
    <w:rsid w:val="006C2208"/>
    <w:rsid w:val="006C2483"/>
    <w:rsid w:val="006C255E"/>
    <w:rsid w:val="006C27B7"/>
    <w:rsid w:val="006C2D57"/>
    <w:rsid w:val="006C2F67"/>
    <w:rsid w:val="006C3282"/>
    <w:rsid w:val="006C358E"/>
    <w:rsid w:val="006C36AC"/>
    <w:rsid w:val="006C3B7C"/>
    <w:rsid w:val="006C40E5"/>
    <w:rsid w:val="006C5950"/>
    <w:rsid w:val="006C5A47"/>
    <w:rsid w:val="006C7EB1"/>
    <w:rsid w:val="006C7EC3"/>
    <w:rsid w:val="006D072F"/>
    <w:rsid w:val="006D193E"/>
    <w:rsid w:val="006D25D0"/>
    <w:rsid w:val="006D3E42"/>
    <w:rsid w:val="006D4533"/>
    <w:rsid w:val="006D46BD"/>
    <w:rsid w:val="006D5071"/>
    <w:rsid w:val="006D57D6"/>
    <w:rsid w:val="006D5F8A"/>
    <w:rsid w:val="006D60F8"/>
    <w:rsid w:val="006D7C2D"/>
    <w:rsid w:val="006D7F31"/>
    <w:rsid w:val="006E0899"/>
    <w:rsid w:val="006E1069"/>
    <w:rsid w:val="006E138B"/>
    <w:rsid w:val="006E1883"/>
    <w:rsid w:val="006E2FA7"/>
    <w:rsid w:val="006E3B74"/>
    <w:rsid w:val="006E46BC"/>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17D2"/>
    <w:rsid w:val="00702152"/>
    <w:rsid w:val="007027DE"/>
    <w:rsid w:val="00702D14"/>
    <w:rsid w:val="0070365E"/>
    <w:rsid w:val="00703D42"/>
    <w:rsid w:val="007071E2"/>
    <w:rsid w:val="007077A8"/>
    <w:rsid w:val="00710DC4"/>
    <w:rsid w:val="00711339"/>
    <w:rsid w:val="0071272A"/>
    <w:rsid w:val="00713B0B"/>
    <w:rsid w:val="00713BC8"/>
    <w:rsid w:val="007143DF"/>
    <w:rsid w:val="00715BE0"/>
    <w:rsid w:val="0071644D"/>
    <w:rsid w:val="007169EA"/>
    <w:rsid w:val="00716E33"/>
    <w:rsid w:val="00716EDD"/>
    <w:rsid w:val="00717264"/>
    <w:rsid w:val="00717F16"/>
    <w:rsid w:val="00720E68"/>
    <w:rsid w:val="0072131B"/>
    <w:rsid w:val="00721DD2"/>
    <w:rsid w:val="00721ECA"/>
    <w:rsid w:val="00721F29"/>
    <w:rsid w:val="0072214F"/>
    <w:rsid w:val="00722B47"/>
    <w:rsid w:val="00722B8A"/>
    <w:rsid w:val="007240E1"/>
    <w:rsid w:val="007246CA"/>
    <w:rsid w:val="00724733"/>
    <w:rsid w:val="007247A2"/>
    <w:rsid w:val="007249BE"/>
    <w:rsid w:val="00724DB5"/>
    <w:rsid w:val="007257C4"/>
    <w:rsid w:val="00725F60"/>
    <w:rsid w:val="0072638E"/>
    <w:rsid w:val="00726461"/>
    <w:rsid w:val="00726FD3"/>
    <w:rsid w:val="007270D3"/>
    <w:rsid w:val="00727A93"/>
    <w:rsid w:val="00727C00"/>
    <w:rsid w:val="00727F61"/>
    <w:rsid w:val="007313A3"/>
    <w:rsid w:val="00731E77"/>
    <w:rsid w:val="00732308"/>
    <w:rsid w:val="00732590"/>
    <w:rsid w:val="007328D6"/>
    <w:rsid w:val="007332AF"/>
    <w:rsid w:val="0073437C"/>
    <w:rsid w:val="0073437D"/>
    <w:rsid w:val="007346EE"/>
    <w:rsid w:val="00735943"/>
    <w:rsid w:val="007400EB"/>
    <w:rsid w:val="00740BFA"/>
    <w:rsid w:val="0074141E"/>
    <w:rsid w:val="007423C4"/>
    <w:rsid w:val="00742E6A"/>
    <w:rsid w:val="007436C1"/>
    <w:rsid w:val="00743B00"/>
    <w:rsid w:val="007449EA"/>
    <w:rsid w:val="00744BA7"/>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6169"/>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19FA"/>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16C"/>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809"/>
    <w:rsid w:val="007A0A61"/>
    <w:rsid w:val="007A2D32"/>
    <w:rsid w:val="007A33A0"/>
    <w:rsid w:val="007A4368"/>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C07D5"/>
    <w:rsid w:val="007C09F8"/>
    <w:rsid w:val="007C2040"/>
    <w:rsid w:val="007C20E6"/>
    <w:rsid w:val="007C2B7B"/>
    <w:rsid w:val="007C3556"/>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4AA4"/>
    <w:rsid w:val="007E53C0"/>
    <w:rsid w:val="007E6FA3"/>
    <w:rsid w:val="007E75DE"/>
    <w:rsid w:val="007F0B8D"/>
    <w:rsid w:val="007F10D5"/>
    <w:rsid w:val="007F3905"/>
    <w:rsid w:val="007F3951"/>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11"/>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512"/>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59E"/>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6C84"/>
    <w:rsid w:val="008571AA"/>
    <w:rsid w:val="00857668"/>
    <w:rsid w:val="0086096E"/>
    <w:rsid w:val="00861332"/>
    <w:rsid w:val="00862A19"/>
    <w:rsid w:val="0086356A"/>
    <w:rsid w:val="0086366E"/>
    <w:rsid w:val="008642AD"/>
    <w:rsid w:val="0086447B"/>
    <w:rsid w:val="00864A89"/>
    <w:rsid w:val="0086504D"/>
    <w:rsid w:val="008651F1"/>
    <w:rsid w:val="0086689B"/>
    <w:rsid w:val="00866A95"/>
    <w:rsid w:val="00866D6D"/>
    <w:rsid w:val="00866F29"/>
    <w:rsid w:val="008703F4"/>
    <w:rsid w:val="00870543"/>
    <w:rsid w:val="00871A2C"/>
    <w:rsid w:val="0087257F"/>
    <w:rsid w:val="0087361F"/>
    <w:rsid w:val="008738F9"/>
    <w:rsid w:val="00873E0A"/>
    <w:rsid w:val="0087414C"/>
    <w:rsid w:val="0087427A"/>
    <w:rsid w:val="008743A2"/>
    <w:rsid w:val="00874853"/>
    <w:rsid w:val="00875B90"/>
    <w:rsid w:val="00875D15"/>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63F7"/>
    <w:rsid w:val="00886A3F"/>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4607"/>
    <w:rsid w:val="008A6833"/>
    <w:rsid w:val="008A6F3D"/>
    <w:rsid w:val="008A728B"/>
    <w:rsid w:val="008A741C"/>
    <w:rsid w:val="008A747E"/>
    <w:rsid w:val="008A7962"/>
    <w:rsid w:val="008A7E5B"/>
    <w:rsid w:val="008B0B45"/>
    <w:rsid w:val="008B0D7C"/>
    <w:rsid w:val="008B127A"/>
    <w:rsid w:val="008B4372"/>
    <w:rsid w:val="008B4606"/>
    <w:rsid w:val="008B4D51"/>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01"/>
    <w:rsid w:val="008D23EA"/>
    <w:rsid w:val="008D2AB0"/>
    <w:rsid w:val="008D2F8B"/>
    <w:rsid w:val="008D325D"/>
    <w:rsid w:val="008D372C"/>
    <w:rsid w:val="008D4070"/>
    <w:rsid w:val="008D466B"/>
    <w:rsid w:val="008D467B"/>
    <w:rsid w:val="008D48F3"/>
    <w:rsid w:val="008D4976"/>
    <w:rsid w:val="008D4CA6"/>
    <w:rsid w:val="008D542E"/>
    <w:rsid w:val="008D5DCF"/>
    <w:rsid w:val="008D6AF4"/>
    <w:rsid w:val="008D6C63"/>
    <w:rsid w:val="008D77A9"/>
    <w:rsid w:val="008E07E3"/>
    <w:rsid w:val="008E0A27"/>
    <w:rsid w:val="008E0D72"/>
    <w:rsid w:val="008E0F99"/>
    <w:rsid w:val="008E2418"/>
    <w:rsid w:val="008E4862"/>
    <w:rsid w:val="008E4FFF"/>
    <w:rsid w:val="008E625C"/>
    <w:rsid w:val="008E6D4B"/>
    <w:rsid w:val="008E784F"/>
    <w:rsid w:val="008E7F23"/>
    <w:rsid w:val="008F0B3C"/>
    <w:rsid w:val="008F151F"/>
    <w:rsid w:val="008F16B3"/>
    <w:rsid w:val="008F222C"/>
    <w:rsid w:val="008F5453"/>
    <w:rsid w:val="008F5F91"/>
    <w:rsid w:val="008F6481"/>
    <w:rsid w:val="008F666C"/>
    <w:rsid w:val="00900F35"/>
    <w:rsid w:val="009012A6"/>
    <w:rsid w:val="00901730"/>
    <w:rsid w:val="00901B2F"/>
    <w:rsid w:val="00901D9A"/>
    <w:rsid w:val="00901DBE"/>
    <w:rsid w:val="009026CE"/>
    <w:rsid w:val="00902911"/>
    <w:rsid w:val="009029E3"/>
    <w:rsid w:val="00903016"/>
    <w:rsid w:val="00903135"/>
    <w:rsid w:val="00903E8E"/>
    <w:rsid w:val="00904413"/>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67"/>
    <w:rsid w:val="00916BCC"/>
    <w:rsid w:val="00916D1F"/>
    <w:rsid w:val="009177B1"/>
    <w:rsid w:val="00917931"/>
    <w:rsid w:val="009209E6"/>
    <w:rsid w:val="009211E7"/>
    <w:rsid w:val="00921469"/>
    <w:rsid w:val="00921943"/>
    <w:rsid w:val="0092218D"/>
    <w:rsid w:val="0092265D"/>
    <w:rsid w:val="00922DEE"/>
    <w:rsid w:val="009232AE"/>
    <w:rsid w:val="0092332E"/>
    <w:rsid w:val="00923A8C"/>
    <w:rsid w:val="00923DE5"/>
    <w:rsid w:val="00925740"/>
    <w:rsid w:val="00926D7E"/>
    <w:rsid w:val="00927923"/>
    <w:rsid w:val="00927AF0"/>
    <w:rsid w:val="00927C75"/>
    <w:rsid w:val="009317DA"/>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46B58"/>
    <w:rsid w:val="009508D0"/>
    <w:rsid w:val="00951004"/>
    <w:rsid w:val="0095112D"/>
    <w:rsid w:val="00951F45"/>
    <w:rsid w:val="00952165"/>
    <w:rsid w:val="00952781"/>
    <w:rsid w:val="00952CC5"/>
    <w:rsid w:val="0095341F"/>
    <w:rsid w:val="00954E9E"/>
    <w:rsid w:val="00955D82"/>
    <w:rsid w:val="00956D55"/>
    <w:rsid w:val="009570F3"/>
    <w:rsid w:val="00957A8C"/>
    <w:rsid w:val="00957B70"/>
    <w:rsid w:val="0096034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319E"/>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6B54"/>
    <w:rsid w:val="009A74C1"/>
    <w:rsid w:val="009A792C"/>
    <w:rsid w:val="009A7D4F"/>
    <w:rsid w:val="009B0427"/>
    <w:rsid w:val="009B0F28"/>
    <w:rsid w:val="009B1A49"/>
    <w:rsid w:val="009B1C6A"/>
    <w:rsid w:val="009B2A0A"/>
    <w:rsid w:val="009B3589"/>
    <w:rsid w:val="009B3874"/>
    <w:rsid w:val="009B45F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0F37"/>
    <w:rsid w:val="009E1F4D"/>
    <w:rsid w:val="009E215E"/>
    <w:rsid w:val="009E2552"/>
    <w:rsid w:val="009E2B9D"/>
    <w:rsid w:val="009E3189"/>
    <w:rsid w:val="009E3944"/>
    <w:rsid w:val="009E3A79"/>
    <w:rsid w:val="009E3AEB"/>
    <w:rsid w:val="009E522D"/>
    <w:rsid w:val="009E5318"/>
    <w:rsid w:val="009E5732"/>
    <w:rsid w:val="009E58F4"/>
    <w:rsid w:val="009E5D7E"/>
    <w:rsid w:val="009F04D9"/>
    <w:rsid w:val="009F110B"/>
    <w:rsid w:val="009F1A38"/>
    <w:rsid w:val="009F252F"/>
    <w:rsid w:val="009F2950"/>
    <w:rsid w:val="009F404C"/>
    <w:rsid w:val="009F4294"/>
    <w:rsid w:val="009F430A"/>
    <w:rsid w:val="009F4623"/>
    <w:rsid w:val="009F5758"/>
    <w:rsid w:val="009F64AA"/>
    <w:rsid w:val="009F778F"/>
    <w:rsid w:val="00A009B7"/>
    <w:rsid w:val="00A00A64"/>
    <w:rsid w:val="00A0202B"/>
    <w:rsid w:val="00A02B06"/>
    <w:rsid w:val="00A03102"/>
    <w:rsid w:val="00A033B8"/>
    <w:rsid w:val="00A03A23"/>
    <w:rsid w:val="00A03F46"/>
    <w:rsid w:val="00A05153"/>
    <w:rsid w:val="00A051A9"/>
    <w:rsid w:val="00A05ACB"/>
    <w:rsid w:val="00A109F5"/>
    <w:rsid w:val="00A118EE"/>
    <w:rsid w:val="00A11A85"/>
    <w:rsid w:val="00A12544"/>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30E20"/>
    <w:rsid w:val="00A31051"/>
    <w:rsid w:val="00A31D48"/>
    <w:rsid w:val="00A32674"/>
    <w:rsid w:val="00A3275E"/>
    <w:rsid w:val="00A33069"/>
    <w:rsid w:val="00A335BF"/>
    <w:rsid w:val="00A34197"/>
    <w:rsid w:val="00A3478B"/>
    <w:rsid w:val="00A354CD"/>
    <w:rsid w:val="00A35B54"/>
    <w:rsid w:val="00A36332"/>
    <w:rsid w:val="00A368E6"/>
    <w:rsid w:val="00A36E3C"/>
    <w:rsid w:val="00A36EAA"/>
    <w:rsid w:val="00A374EE"/>
    <w:rsid w:val="00A37720"/>
    <w:rsid w:val="00A41459"/>
    <w:rsid w:val="00A42469"/>
    <w:rsid w:val="00A43454"/>
    <w:rsid w:val="00A44565"/>
    <w:rsid w:val="00A45F70"/>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81D"/>
    <w:rsid w:val="00A66934"/>
    <w:rsid w:val="00A700AC"/>
    <w:rsid w:val="00A70868"/>
    <w:rsid w:val="00A70BC0"/>
    <w:rsid w:val="00A712EA"/>
    <w:rsid w:val="00A71902"/>
    <w:rsid w:val="00A722EC"/>
    <w:rsid w:val="00A74351"/>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276"/>
    <w:rsid w:val="00A844E6"/>
    <w:rsid w:val="00A84666"/>
    <w:rsid w:val="00A84E7F"/>
    <w:rsid w:val="00A85596"/>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34C1"/>
    <w:rsid w:val="00AA4741"/>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2B86"/>
    <w:rsid w:val="00AE346E"/>
    <w:rsid w:val="00AE48CB"/>
    <w:rsid w:val="00AE52A2"/>
    <w:rsid w:val="00AE67C8"/>
    <w:rsid w:val="00AE6E1E"/>
    <w:rsid w:val="00AE7BD8"/>
    <w:rsid w:val="00AE7DFD"/>
    <w:rsid w:val="00AE7EC7"/>
    <w:rsid w:val="00AF0B12"/>
    <w:rsid w:val="00AF1FFD"/>
    <w:rsid w:val="00AF2219"/>
    <w:rsid w:val="00AF2747"/>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824"/>
    <w:rsid w:val="00B17B32"/>
    <w:rsid w:val="00B17CB6"/>
    <w:rsid w:val="00B200A4"/>
    <w:rsid w:val="00B20A5B"/>
    <w:rsid w:val="00B21306"/>
    <w:rsid w:val="00B21AE3"/>
    <w:rsid w:val="00B21C96"/>
    <w:rsid w:val="00B21E07"/>
    <w:rsid w:val="00B21F4A"/>
    <w:rsid w:val="00B2334F"/>
    <w:rsid w:val="00B2377A"/>
    <w:rsid w:val="00B23A7D"/>
    <w:rsid w:val="00B24DB9"/>
    <w:rsid w:val="00B252C1"/>
    <w:rsid w:val="00B2608A"/>
    <w:rsid w:val="00B263B3"/>
    <w:rsid w:val="00B26403"/>
    <w:rsid w:val="00B26775"/>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3669"/>
    <w:rsid w:val="00B43DB1"/>
    <w:rsid w:val="00B44735"/>
    <w:rsid w:val="00B453DC"/>
    <w:rsid w:val="00B51945"/>
    <w:rsid w:val="00B530FD"/>
    <w:rsid w:val="00B535C1"/>
    <w:rsid w:val="00B53C85"/>
    <w:rsid w:val="00B56037"/>
    <w:rsid w:val="00B56134"/>
    <w:rsid w:val="00B56412"/>
    <w:rsid w:val="00B566EF"/>
    <w:rsid w:val="00B56FF9"/>
    <w:rsid w:val="00B60A21"/>
    <w:rsid w:val="00B6119C"/>
    <w:rsid w:val="00B612DC"/>
    <w:rsid w:val="00B63066"/>
    <w:rsid w:val="00B638CF"/>
    <w:rsid w:val="00B64B15"/>
    <w:rsid w:val="00B672C9"/>
    <w:rsid w:val="00B675C5"/>
    <w:rsid w:val="00B67B33"/>
    <w:rsid w:val="00B70630"/>
    <w:rsid w:val="00B70C23"/>
    <w:rsid w:val="00B7178D"/>
    <w:rsid w:val="00B717DC"/>
    <w:rsid w:val="00B719BF"/>
    <w:rsid w:val="00B72B29"/>
    <w:rsid w:val="00B748AC"/>
    <w:rsid w:val="00B74951"/>
    <w:rsid w:val="00B75165"/>
    <w:rsid w:val="00B7527F"/>
    <w:rsid w:val="00B75EE3"/>
    <w:rsid w:val="00B7624B"/>
    <w:rsid w:val="00B76B87"/>
    <w:rsid w:val="00B77194"/>
    <w:rsid w:val="00B77F88"/>
    <w:rsid w:val="00B800A1"/>
    <w:rsid w:val="00B806D0"/>
    <w:rsid w:val="00B8137E"/>
    <w:rsid w:val="00B81571"/>
    <w:rsid w:val="00B81B7E"/>
    <w:rsid w:val="00B822FC"/>
    <w:rsid w:val="00B82638"/>
    <w:rsid w:val="00B826C5"/>
    <w:rsid w:val="00B845D3"/>
    <w:rsid w:val="00B8473A"/>
    <w:rsid w:val="00B84AE3"/>
    <w:rsid w:val="00B84DB1"/>
    <w:rsid w:val="00B86EC2"/>
    <w:rsid w:val="00B8708D"/>
    <w:rsid w:val="00B87572"/>
    <w:rsid w:val="00B87591"/>
    <w:rsid w:val="00B87E38"/>
    <w:rsid w:val="00B87F8A"/>
    <w:rsid w:val="00B90776"/>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25A"/>
    <w:rsid w:val="00BE256B"/>
    <w:rsid w:val="00BE36F4"/>
    <w:rsid w:val="00BE3C4D"/>
    <w:rsid w:val="00BE40F7"/>
    <w:rsid w:val="00BE43D3"/>
    <w:rsid w:val="00BE5012"/>
    <w:rsid w:val="00BE52B4"/>
    <w:rsid w:val="00BE5658"/>
    <w:rsid w:val="00BE636A"/>
    <w:rsid w:val="00BE6629"/>
    <w:rsid w:val="00BE6747"/>
    <w:rsid w:val="00BE750F"/>
    <w:rsid w:val="00BF008E"/>
    <w:rsid w:val="00BF0963"/>
    <w:rsid w:val="00BF0998"/>
    <w:rsid w:val="00BF152D"/>
    <w:rsid w:val="00BF18A0"/>
    <w:rsid w:val="00BF1BF0"/>
    <w:rsid w:val="00BF248F"/>
    <w:rsid w:val="00BF29D4"/>
    <w:rsid w:val="00BF2F90"/>
    <w:rsid w:val="00BF3EB7"/>
    <w:rsid w:val="00BF3FD4"/>
    <w:rsid w:val="00BF428A"/>
    <w:rsid w:val="00BF4F73"/>
    <w:rsid w:val="00BF61E4"/>
    <w:rsid w:val="00BF6366"/>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798"/>
    <w:rsid w:val="00C23E15"/>
    <w:rsid w:val="00C23FA2"/>
    <w:rsid w:val="00C23FD9"/>
    <w:rsid w:val="00C253E5"/>
    <w:rsid w:val="00C25D82"/>
    <w:rsid w:val="00C2654E"/>
    <w:rsid w:val="00C269C3"/>
    <w:rsid w:val="00C26CCF"/>
    <w:rsid w:val="00C273E3"/>
    <w:rsid w:val="00C301D9"/>
    <w:rsid w:val="00C3052C"/>
    <w:rsid w:val="00C309F8"/>
    <w:rsid w:val="00C310AE"/>
    <w:rsid w:val="00C310B5"/>
    <w:rsid w:val="00C311F5"/>
    <w:rsid w:val="00C3154E"/>
    <w:rsid w:val="00C31C2A"/>
    <w:rsid w:val="00C33D9D"/>
    <w:rsid w:val="00C3490D"/>
    <w:rsid w:val="00C3496C"/>
    <w:rsid w:val="00C34D2C"/>
    <w:rsid w:val="00C36616"/>
    <w:rsid w:val="00C36AFB"/>
    <w:rsid w:val="00C36C3C"/>
    <w:rsid w:val="00C37197"/>
    <w:rsid w:val="00C37554"/>
    <w:rsid w:val="00C4054F"/>
    <w:rsid w:val="00C40F96"/>
    <w:rsid w:val="00C4132C"/>
    <w:rsid w:val="00C41461"/>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0FA4"/>
    <w:rsid w:val="00C712B7"/>
    <w:rsid w:val="00C7286C"/>
    <w:rsid w:val="00C72ECD"/>
    <w:rsid w:val="00C730D6"/>
    <w:rsid w:val="00C73929"/>
    <w:rsid w:val="00C74F87"/>
    <w:rsid w:val="00C75797"/>
    <w:rsid w:val="00C75832"/>
    <w:rsid w:val="00C77524"/>
    <w:rsid w:val="00C775DF"/>
    <w:rsid w:val="00C802B7"/>
    <w:rsid w:val="00C80691"/>
    <w:rsid w:val="00C80ADA"/>
    <w:rsid w:val="00C8119E"/>
    <w:rsid w:val="00C81263"/>
    <w:rsid w:val="00C81D80"/>
    <w:rsid w:val="00C82366"/>
    <w:rsid w:val="00C828BE"/>
    <w:rsid w:val="00C82AAE"/>
    <w:rsid w:val="00C82DAA"/>
    <w:rsid w:val="00C82DCC"/>
    <w:rsid w:val="00C82F86"/>
    <w:rsid w:val="00C8439F"/>
    <w:rsid w:val="00C84DF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0D6"/>
    <w:rsid w:val="00C9525D"/>
    <w:rsid w:val="00C95A04"/>
    <w:rsid w:val="00C97123"/>
    <w:rsid w:val="00C97AA2"/>
    <w:rsid w:val="00C97EB0"/>
    <w:rsid w:val="00CA03CE"/>
    <w:rsid w:val="00CA0951"/>
    <w:rsid w:val="00CA0A28"/>
    <w:rsid w:val="00CA13F0"/>
    <w:rsid w:val="00CA181F"/>
    <w:rsid w:val="00CA1A8E"/>
    <w:rsid w:val="00CA23AF"/>
    <w:rsid w:val="00CA2BB5"/>
    <w:rsid w:val="00CA3911"/>
    <w:rsid w:val="00CA54AC"/>
    <w:rsid w:val="00CA611C"/>
    <w:rsid w:val="00CA63FF"/>
    <w:rsid w:val="00CA7487"/>
    <w:rsid w:val="00CA7630"/>
    <w:rsid w:val="00CA7686"/>
    <w:rsid w:val="00CA76C0"/>
    <w:rsid w:val="00CB0203"/>
    <w:rsid w:val="00CB088C"/>
    <w:rsid w:val="00CB3640"/>
    <w:rsid w:val="00CB5650"/>
    <w:rsid w:val="00CB573E"/>
    <w:rsid w:val="00CB585C"/>
    <w:rsid w:val="00CB6090"/>
    <w:rsid w:val="00CC002E"/>
    <w:rsid w:val="00CC10DE"/>
    <w:rsid w:val="00CC1441"/>
    <w:rsid w:val="00CC1892"/>
    <w:rsid w:val="00CC245E"/>
    <w:rsid w:val="00CC2717"/>
    <w:rsid w:val="00CC4DBE"/>
    <w:rsid w:val="00CC528E"/>
    <w:rsid w:val="00CC56CE"/>
    <w:rsid w:val="00CC60BA"/>
    <w:rsid w:val="00CC7891"/>
    <w:rsid w:val="00CD0A35"/>
    <w:rsid w:val="00CD12D6"/>
    <w:rsid w:val="00CD16CC"/>
    <w:rsid w:val="00CD232E"/>
    <w:rsid w:val="00CD29F8"/>
    <w:rsid w:val="00CD2BAF"/>
    <w:rsid w:val="00CD2CF3"/>
    <w:rsid w:val="00CD3382"/>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581B"/>
    <w:rsid w:val="00CF6068"/>
    <w:rsid w:val="00CF753C"/>
    <w:rsid w:val="00CF7D88"/>
    <w:rsid w:val="00D011BA"/>
    <w:rsid w:val="00D0278B"/>
    <w:rsid w:val="00D0361C"/>
    <w:rsid w:val="00D0657F"/>
    <w:rsid w:val="00D06CD5"/>
    <w:rsid w:val="00D10076"/>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D58"/>
    <w:rsid w:val="00D23F70"/>
    <w:rsid w:val="00D2401A"/>
    <w:rsid w:val="00D24702"/>
    <w:rsid w:val="00D2505E"/>
    <w:rsid w:val="00D25308"/>
    <w:rsid w:val="00D2683D"/>
    <w:rsid w:val="00D278B0"/>
    <w:rsid w:val="00D27F68"/>
    <w:rsid w:val="00D313C4"/>
    <w:rsid w:val="00D31721"/>
    <w:rsid w:val="00D32486"/>
    <w:rsid w:val="00D33F02"/>
    <w:rsid w:val="00D340CA"/>
    <w:rsid w:val="00D3564E"/>
    <w:rsid w:val="00D35E04"/>
    <w:rsid w:val="00D36745"/>
    <w:rsid w:val="00D36D20"/>
    <w:rsid w:val="00D37E94"/>
    <w:rsid w:val="00D37EDC"/>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655A"/>
    <w:rsid w:val="00D56A7E"/>
    <w:rsid w:val="00D57617"/>
    <w:rsid w:val="00D60525"/>
    <w:rsid w:val="00D616B6"/>
    <w:rsid w:val="00D61995"/>
    <w:rsid w:val="00D61A4F"/>
    <w:rsid w:val="00D61F33"/>
    <w:rsid w:val="00D62075"/>
    <w:rsid w:val="00D62595"/>
    <w:rsid w:val="00D62835"/>
    <w:rsid w:val="00D638B7"/>
    <w:rsid w:val="00D645FC"/>
    <w:rsid w:val="00D66171"/>
    <w:rsid w:val="00D6674F"/>
    <w:rsid w:val="00D669CD"/>
    <w:rsid w:val="00D67170"/>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5C63"/>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553"/>
    <w:rsid w:val="00DD7E01"/>
    <w:rsid w:val="00DD7EE3"/>
    <w:rsid w:val="00DE0025"/>
    <w:rsid w:val="00DE02ED"/>
    <w:rsid w:val="00DE02F4"/>
    <w:rsid w:val="00DE3E08"/>
    <w:rsid w:val="00DE3FBD"/>
    <w:rsid w:val="00DE4686"/>
    <w:rsid w:val="00DE4E34"/>
    <w:rsid w:val="00DE54FB"/>
    <w:rsid w:val="00DE6A34"/>
    <w:rsid w:val="00DE6D09"/>
    <w:rsid w:val="00DE7581"/>
    <w:rsid w:val="00DF0692"/>
    <w:rsid w:val="00DF1165"/>
    <w:rsid w:val="00DF1CD1"/>
    <w:rsid w:val="00DF276B"/>
    <w:rsid w:val="00DF2B4D"/>
    <w:rsid w:val="00DF2BFB"/>
    <w:rsid w:val="00DF3395"/>
    <w:rsid w:val="00DF3CB3"/>
    <w:rsid w:val="00DF4A35"/>
    <w:rsid w:val="00DF6F42"/>
    <w:rsid w:val="00DF72EF"/>
    <w:rsid w:val="00DF75C6"/>
    <w:rsid w:val="00DF75D7"/>
    <w:rsid w:val="00DF7D08"/>
    <w:rsid w:val="00E00EC8"/>
    <w:rsid w:val="00E01499"/>
    <w:rsid w:val="00E01CE4"/>
    <w:rsid w:val="00E02831"/>
    <w:rsid w:val="00E02DD5"/>
    <w:rsid w:val="00E038A8"/>
    <w:rsid w:val="00E04EAB"/>
    <w:rsid w:val="00E054F1"/>
    <w:rsid w:val="00E06B57"/>
    <w:rsid w:val="00E10FA5"/>
    <w:rsid w:val="00E117F8"/>
    <w:rsid w:val="00E11C4F"/>
    <w:rsid w:val="00E12029"/>
    <w:rsid w:val="00E123CF"/>
    <w:rsid w:val="00E12BB0"/>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3E13"/>
    <w:rsid w:val="00E25DFB"/>
    <w:rsid w:val="00E262F8"/>
    <w:rsid w:val="00E263E2"/>
    <w:rsid w:val="00E264AE"/>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975"/>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5A6"/>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1F49"/>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2F4"/>
    <w:rsid w:val="00E756C2"/>
    <w:rsid w:val="00E77453"/>
    <w:rsid w:val="00E77AFD"/>
    <w:rsid w:val="00E80260"/>
    <w:rsid w:val="00E80338"/>
    <w:rsid w:val="00E80460"/>
    <w:rsid w:val="00E80F75"/>
    <w:rsid w:val="00E82240"/>
    <w:rsid w:val="00E822ED"/>
    <w:rsid w:val="00E831DD"/>
    <w:rsid w:val="00E83D4C"/>
    <w:rsid w:val="00E84D48"/>
    <w:rsid w:val="00E85272"/>
    <w:rsid w:val="00E857BB"/>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5953"/>
    <w:rsid w:val="00E9660F"/>
    <w:rsid w:val="00E96874"/>
    <w:rsid w:val="00E9693D"/>
    <w:rsid w:val="00E9775C"/>
    <w:rsid w:val="00E97CE4"/>
    <w:rsid w:val="00EA03C0"/>
    <w:rsid w:val="00EA1A0B"/>
    <w:rsid w:val="00EA3020"/>
    <w:rsid w:val="00EA34A1"/>
    <w:rsid w:val="00EA36A2"/>
    <w:rsid w:val="00EA3DE8"/>
    <w:rsid w:val="00EA4DF0"/>
    <w:rsid w:val="00EA4F10"/>
    <w:rsid w:val="00EA55FD"/>
    <w:rsid w:val="00EA61BA"/>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783"/>
    <w:rsid w:val="00ED38AB"/>
    <w:rsid w:val="00ED451C"/>
    <w:rsid w:val="00ED46BA"/>
    <w:rsid w:val="00ED54D8"/>
    <w:rsid w:val="00ED7D02"/>
    <w:rsid w:val="00EE05C5"/>
    <w:rsid w:val="00EE171B"/>
    <w:rsid w:val="00EE1B61"/>
    <w:rsid w:val="00EE29F0"/>
    <w:rsid w:val="00EE418A"/>
    <w:rsid w:val="00EE454D"/>
    <w:rsid w:val="00EE55B0"/>
    <w:rsid w:val="00EE590D"/>
    <w:rsid w:val="00EE5914"/>
    <w:rsid w:val="00EE6B6F"/>
    <w:rsid w:val="00EE715C"/>
    <w:rsid w:val="00EE71BA"/>
    <w:rsid w:val="00EE741E"/>
    <w:rsid w:val="00EF11F1"/>
    <w:rsid w:val="00EF19E7"/>
    <w:rsid w:val="00EF2A31"/>
    <w:rsid w:val="00EF2A91"/>
    <w:rsid w:val="00EF2D6A"/>
    <w:rsid w:val="00EF3B1A"/>
    <w:rsid w:val="00EF4277"/>
    <w:rsid w:val="00EF4FEA"/>
    <w:rsid w:val="00EF5489"/>
    <w:rsid w:val="00EF5779"/>
    <w:rsid w:val="00EF5B9A"/>
    <w:rsid w:val="00EF656F"/>
    <w:rsid w:val="00EF6758"/>
    <w:rsid w:val="00EF6E6C"/>
    <w:rsid w:val="00F006C5"/>
    <w:rsid w:val="00F021CE"/>
    <w:rsid w:val="00F025ED"/>
    <w:rsid w:val="00F02824"/>
    <w:rsid w:val="00F0294B"/>
    <w:rsid w:val="00F02A35"/>
    <w:rsid w:val="00F037C1"/>
    <w:rsid w:val="00F04969"/>
    <w:rsid w:val="00F05EA1"/>
    <w:rsid w:val="00F05F71"/>
    <w:rsid w:val="00F068D4"/>
    <w:rsid w:val="00F06A5B"/>
    <w:rsid w:val="00F06E68"/>
    <w:rsid w:val="00F073AA"/>
    <w:rsid w:val="00F075E6"/>
    <w:rsid w:val="00F07A35"/>
    <w:rsid w:val="00F07A41"/>
    <w:rsid w:val="00F07D54"/>
    <w:rsid w:val="00F10B24"/>
    <w:rsid w:val="00F11404"/>
    <w:rsid w:val="00F1142C"/>
    <w:rsid w:val="00F121EF"/>
    <w:rsid w:val="00F126A2"/>
    <w:rsid w:val="00F12C2F"/>
    <w:rsid w:val="00F12E00"/>
    <w:rsid w:val="00F13610"/>
    <w:rsid w:val="00F13F84"/>
    <w:rsid w:val="00F1501A"/>
    <w:rsid w:val="00F154AD"/>
    <w:rsid w:val="00F15536"/>
    <w:rsid w:val="00F15CEE"/>
    <w:rsid w:val="00F162DC"/>
    <w:rsid w:val="00F16447"/>
    <w:rsid w:val="00F16C38"/>
    <w:rsid w:val="00F21076"/>
    <w:rsid w:val="00F217C3"/>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0C1E"/>
    <w:rsid w:val="00F342C3"/>
    <w:rsid w:val="00F34B7D"/>
    <w:rsid w:val="00F34B7F"/>
    <w:rsid w:val="00F34E5E"/>
    <w:rsid w:val="00F3501C"/>
    <w:rsid w:val="00F356D0"/>
    <w:rsid w:val="00F359E9"/>
    <w:rsid w:val="00F372B5"/>
    <w:rsid w:val="00F3791A"/>
    <w:rsid w:val="00F3795F"/>
    <w:rsid w:val="00F37CBB"/>
    <w:rsid w:val="00F37E78"/>
    <w:rsid w:val="00F4066A"/>
    <w:rsid w:val="00F4092E"/>
    <w:rsid w:val="00F40F63"/>
    <w:rsid w:val="00F4153B"/>
    <w:rsid w:val="00F425C6"/>
    <w:rsid w:val="00F434FC"/>
    <w:rsid w:val="00F43A06"/>
    <w:rsid w:val="00F45D88"/>
    <w:rsid w:val="00F46619"/>
    <w:rsid w:val="00F47246"/>
    <w:rsid w:val="00F500BC"/>
    <w:rsid w:val="00F50A10"/>
    <w:rsid w:val="00F50BC9"/>
    <w:rsid w:val="00F51B5A"/>
    <w:rsid w:val="00F51E49"/>
    <w:rsid w:val="00F539AD"/>
    <w:rsid w:val="00F53E4A"/>
    <w:rsid w:val="00F54209"/>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4501"/>
    <w:rsid w:val="00F65161"/>
    <w:rsid w:val="00F65449"/>
    <w:rsid w:val="00F6565F"/>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6EC"/>
    <w:rsid w:val="00F77A13"/>
    <w:rsid w:val="00F77F97"/>
    <w:rsid w:val="00F77FEF"/>
    <w:rsid w:val="00F80F1E"/>
    <w:rsid w:val="00F817E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8C0"/>
    <w:rsid w:val="00FA1CF3"/>
    <w:rsid w:val="00FA21F8"/>
    <w:rsid w:val="00FA230D"/>
    <w:rsid w:val="00FA2730"/>
    <w:rsid w:val="00FA3501"/>
    <w:rsid w:val="00FA3EC7"/>
    <w:rsid w:val="00FA4E44"/>
    <w:rsid w:val="00FA7D18"/>
    <w:rsid w:val="00FB05D0"/>
    <w:rsid w:val="00FB0E89"/>
    <w:rsid w:val="00FB1249"/>
    <w:rsid w:val="00FB13A8"/>
    <w:rsid w:val="00FB14CE"/>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2BEC"/>
    <w:rsid w:val="00FC352F"/>
    <w:rsid w:val="00FC6127"/>
    <w:rsid w:val="00FC6206"/>
    <w:rsid w:val="00FC7407"/>
    <w:rsid w:val="00FC7D15"/>
    <w:rsid w:val="00FD01D6"/>
    <w:rsid w:val="00FD0963"/>
    <w:rsid w:val="00FD09FA"/>
    <w:rsid w:val="00FD0E5C"/>
    <w:rsid w:val="00FD125E"/>
    <w:rsid w:val="00FD1BDD"/>
    <w:rsid w:val="00FD1DC9"/>
    <w:rsid w:val="00FD36EA"/>
    <w:rsid w:val="00FD3DBD"/>
    <w:rsid w:val="00FD4F49"/>
    <w:rsid w:val="00FD53BD"/>
    <w:rsid w:val="00FD7025"/>
    <w:rsid w:val="00FD7E8E"/>
    <w:rsid w:val="00FE2383"/>
    <w:rsid w:val="00FE23F4"/>
    <w:rsid w:val="00FE3017"/>
    <w:rsid w:val="00FE3336"/>
    <w:rsid w:val="00FE3D63"/>
    <w:rsid w:val="00FE44DB"/>
    <w:rsid w:val="00FE61E5"/>
    <w:rsid w:val="00FE68A9"/>
    <w:rsid w:val="00FE6DFC"/>
    <w:rsid w:val="00FE7AD6"/>
    <w:rsid w:val="00FF0D97"/>
    <w:rsid w:val="00FF1EE7"/>
    <w:rsid w:val="00FF3423"/>
    <w:rsid w:val="00FF34DB"/>
    <w:rsid w:val="00FF3E4B"/>
    <w:rsid w:val="00FF42D5"/>
    <w:rsid w:val="00FF4A78"/>
    <w:rsid w:val="00FF4AA1"/>
    <w:rsid w:val="00FF58F3"/>
    <w:rsid w:val="00FF5928"/>
    <w:rsid w:val="00FF6C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13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uiPriority w:val="99"/>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 w:type="paragraph" w:styleId="BodyText2">
    <w:name w:val="Body Text 2"/>
    <w:basedOn w:val="Normal"/>
    <w:link w:val="BodyText2Char"/>
    <w:rsid w:val="00354DD5"/>
    <w:pPr>
      <w:spacing w:after="120" w:line="480" w:lineRule="auto"/>
    </w:pPr>
  </w:style>
  <w:style w:type="character" w:customStyle="1" w:styleId="BodyText2Char">
    <w:name w:val="Body Text 2 Char"/>
    <w:basedOn w:val="DefaultParagraphFont"/>
    <w:link w:val="BodyText2"/>
    <w:rsid w:val="00354DD5"/>
    <w:rPr>
      <w:sz w:val="24"/>
      <w:szCs w:val="24"/>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3327</TotalTime>
  <Pages>6</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admin</cp:lastModifiedBy>
  <cp:revision>2186</cp:revision>
  <cp:lastPrinted>2017-07-14T04:29:00Z</cp:lastPrinted>
  <dcterms:created xsi:type="dcterms:W3CDTF">2012-09-11T07:20:00Z</dcterms:created>
  <dcterms:modified xsi:type="dcterms:W3CDTF">2017-10-13T09:13:00Z</dcterms:modified>
</cp:coreProperties>
</file>