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9E692A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PURPOSE</w:t>
      </w:r>
      <w:r w:rsidR="00EC0BCC" w:rsidRPr="009E692A">
        <w:rPr>
          <w:b/>
          <w:sz w:val="24"/>
          <w:szCs w:val="24"/>
        </w:rPr>
        <w:t>:</w:t>
      </w:r>
    </w:p>
    <w:p w:rsidR="00530B0A" w:rsidRPr="009E692A" w:rsidRDefault="009E692A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9E692A">
        <w:rPr>
          <w:sz w:val="24"/>
          <w:szCs w:val="24"/>
        </w:rPr>
        <w:t>To describe the procedure for Operation and calibration of UV Visible spectrophotometer.</w:t>
      </w:r>
    </w:p>
    <w:p w:rsidR="00B113C2" w:rsidRPr="009E692A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SCOPE</w:t>
      </w:r>
      <w:r w:rsidR="00EC0BCC" w:rsidRPr="009E692A">
        <w:rPr>
          <w:b/>
          <w:sz w:val="24"/>
          <w:szCs w:val="24"/>
        </w:rPr>
        <w:t>:</w:t>
      </w:r>
    </w:p>
    <w:p w:rsidR="00530B0A" w:rsidRDefault="009E692A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The procedure applies to Operation and calibration of UV Visible spectrophotometer.</w:t>
      </w:r>
    </w:p>
    <w:p w:rsidR="00694816" w:rsidRPr="00694816" w:rsidRDefault="00694816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694816">
        <w:rPr>
          <w:sz w:val="24"/>
          <w:szCs w:val="24"/>
        </w:rPr>
        <w:t>Make</w:t>
      </w:r>
      <w:r>
        <w:rPr>
          <w:sz w:val="24"/>
          <w:szCs w:val="24"/>
        </w:rPr>
        <w:tab/>
      </w:r>
      <w:r w:rsidRPr="00694816">
        <w:rPr>
          <w:sz w:val="24"/>
          <w:szCs w:val="24"/>
        </w:rPr>
        <w:t>: Agilent  Technologies</w:t>
      </w:r>
    </w:p>
    <w:p w:rsidR="00694816" w:rsidRPr="00694816" w:rsidRDefault="00694816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694816">
        <w:rPr>
          <w:sz w:val="24"/>
          <w:szCs w:val="24"/>
        </w:rPr>
        <w:t>Model</w:t>
      </w:r>
      <w:r>
        <w:rPr>
          <w:sz w:val="24"/>
          <w:szCs w:val="24"/>
        </w:rPr>
        <w:tab/>
      </w:r>
      <w:r w:rsidRPr="00694816">
        <w:rPr>
          <w:sz w:val="24"/>
          <w:szCs w:val="24"/>
        </w:rPr>
        <w:t>: Carry G6860A</w:t>
      </w:r>
    </w:p>
    <w:p w:rsidR="00694816" w:rsidRPr="00694816" w:rsidRDefault="00694816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694816">
        <w:rPr>
          <w:sz w:val="24"/>
          <w:szCs w:val="24"/>
        </w:rPr>
        <w:t>ID No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694816">
        <w:rPr>
          <w:sz w:val="24"/>
          <w:szCs w:val="24"/>
        </w:rPr>
        <w:t>: DIPL/QC/INS/UV/001</w:t>
      </w:r>
    </w:p>
    <w:p w:rsidR="00B113C2" w:rsidRPr="009E692A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RESPONSIBILITY</w:t>
      </w:r>
      <w:r w:rsidR="00EC0BCC" w:rsidRPr="009E692A">
        <w:rPr>
          <w:b/>
          <w:sz w:val="24"/>
          <w:szCs w:val="24"/>
        </w:rPr>
        <w:t>:</w:t>
      </w:r>
    </w:p>
    <w:p w:rsidR="003319DB" w:rsidRPr="003319DB" w:rsidRDefault="003319DB" w:rsidP="003319D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319DB">
        <w:rPr>
          <w:sz w:val="24"/>
          <w:szCs w:val="24"/>
        </w:rPr>
        <w:t xml:space="preserve">Analyst-QC is responsible to follow this SOP. </w:t>
      </w:r>
    </w:p>
    <w:p w:rsidR="003319DB" w:rsidRPr="003319DB" w:rsidRDefault="003319DB" w:rsidP="003319D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319DB">
        <w:rPr>
          <w:sz w:val="24"/>
          <w:szCs w:val="24"/>
        </w:rPr>
        <w:t>Head-QC/Designee is responsible for ensuring implementation of this SOP.</w:t>
      </w:r>
    </w:p>
    <w:p w:rsidR="003319DB" w:rsidRPr="003319DB" w:rsidRDefault="003319DB" w:rsidP="003319D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319DB">
        <w:rPr>
          <w:sz w:val="24"/>
          <w:szCs w:val="24"/>
        </w:rPr>
        <w:t>Head-QA/Designee is responsible for monitoring overall compliance of this SOP.</w:t>
      </w:r>
    </w:p>
    <w:p w:rsidR="00C63A0F" w:rsidRPr="001E6D6A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sz w:val="24"/>
          <w:szCs w:val="24"/>
        </w:rPr>
      </w:pPr>
      <w:r w:rsidRPr="009E692A">
        <w:rPr>
          <w:b/>
          <w:sz w:val="24"/>
          <w:szCs w:val="24"/>
        </w:rPr>
        <w:t>DEFINITIONS:</w:t>
      </w:r>
    </w:p>
    <w:p w:rsidR="00C63A0F" w:rsidRPr="001E6D6A" w:rsidRDefault="001E6D6A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1E6D6A">
        <w:rPr>
          <w:sz w:val="24"/>
          <w:szCs w:val="24"/>
        </w:rPr>
        <w:t>Nil.</w:t>
      </w:r>
    </w:p>
    <w:p w:rsidR="009E692A" w:rsidRPr="000150DD" w:rsidRDefault="00B67A12" w:rsidP="000150D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PROCEDURE</w:t>
      </w:r>
      <w:r w:rsidR="00EC0BCC" w:rsidRPr="009E692A">
        <w:rPr>
          <w:b/>
          <w:sz w:val="24"/>
          <w:szCs w:val="24"/>
        </w:rPr>
        <w:t>:</w:t>
      </w:r>
    </w:p>
    <w:p w:rsidR="009E692A" w:rsidRPr="009E692A" w:rsidRDefault="009E692A" w:rsidP="009E692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OPERATIONS:</w:t>
      </w:r>
    </w:p>
    <w:p w:rsidR="009E692A" w:rsidRPr="009E692A" w:rsidRDefault="009E692A" w:rsidP="000150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  <w:u w:val="single"/>
        </w:rPr>
      </w:pPr>
      <w:r w:rsidRPr="009E692A">
        <w:rPr>
          <w:b/>
          <w:sz w:val="24"/>
          <w:szCs w:val="24"/>
        </w:rPr>
        <w:t xml:space="preserve">ADVANCED READ </w:t>
      </w:r>
      <w:r w:rsidRPr="009E692A">
        <w:rPr>
          <w:sz w:val="24"/>
          <w:szCs w:val="24"/>
        </w:rPr>
        <w:t>(to measure OD at a particular Wavelength)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 xml:space="preserve">Switch on the Instrument  wait for green color blinking  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Switch ON PC.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‘Cary Win UV’ folder from desktop.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‘Advanced Read’.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‘Setup’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put required wavelength’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Click OK.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Put Blank on cell holder.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‘Zero’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OK.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 xml:space="preserve"> Put 1</w:t>
      </w:r>
      <w:r w:rsidRPr="009E692A">
        <w:rPr>
          <w:sz w:val="24"/>
          <w:szCs w:val="24"/>
          <w:vertAlign w:val="superscript"/>
        </w:rPr>
        <w:t>st</w:t>
      </w:r>
      <w:r w:rsidRPr="009E692A">
        <w:rPr>
          <w:sz w:val="24"/>
          <w:szCs w:val="24"/>
        </w:rPr>
        <w:t xml:space="preserve"> Sample on cell holder.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‘Start’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OK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Write a file name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Save.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lastRenderedPageBreak/>
        <w:t xml:space="preserve">  Click ‘OK’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Put 2</w:t>
      </w:r>
      <w:r w:rsidRPr="009E692A">
        <w:rPr>
          <w:sz w:val="24"/>
          <w:szCs w:val="24"/>
          <w:vertAlign w:val="superscript"/>
        </w:rPr>
        <w:t>nd</w:t>
      </w:r>
      <w:r w:rsidRPr="009E692A">
        <w:rPr>
          <w:sz w:val="24"/>
          <w:szCs w:val="24"/>
        </w:rPr>
        <w:t xml:space="preserve"> Sample &amp; click ‘OK’ &amp; CONTINUE.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 xml:space="preserve">After completion 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Click ‘Cancel’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’OK’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 xml:space="preserve">close the window. </w:t>
      </w:r>
    </w:p>
    <w:p w:rsidR="009E692A" w:rsidRPr="009E692A" w:rsidRDefault="009E692A" w:rsidP="000150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9E692A">
        <w:rPr>
          <w:b/>
          <w:sz w:val="24"/>
          <w:szCs w:val="24"/>
        </w:rPr>
        <w:t xml:space="preserve">SCAN </w:t>
      </w:r>
      <w:r w:rsidRPr="009E692A">
        <w:rPr>
          <w:sz w:val="24"/>
          <w:szCs w:val="24"/>
        </w:rPr>
        <w:t>(to measure λ max of a sample)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Switch ON PC.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‘Cary Win UV’ folder from desktop.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‘Scan’.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‘Setup’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Put WL range at Start &amp; Stop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On Baseline Tab select ‘Baseline correction’. Click ‘OK’.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Put Blank on Cell holder &amp; Click ‘Baseline’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OK.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‘Start’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Write any File name &amp; click ‘Save’.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Put Sample on cell holder. Click ‘OK’.</w:t>
      </w:r>
    </w:p>
    <w:p w:rsidR="009E692A" w:rsidRPr="009E692A" w:rsidRDefault="009E692A" w:rsidP="000150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9E692A">
        <w:rPr>
          <w:b/>
          <w:sz w:val="24"/>
          <w:szCs w:val="24"/>
        </w:rPr>
        <w:t xml:space="preserve">CONCENTRATION </w:t>
      </w:r>
      <w:r w:rsidRPr="009E692A">
        <w:rPr>
          <w:sz w:val="24"/>
          <w:szCs w:val="24"/>
        </w:rPr>
        <w:t>(to measure the concentration of unknown samples)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Switch ON PC.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Open ‘Cary Win UV’ folder from desktop.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Open ‘Concentration’.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Click ‘Setup’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Put required Wavelength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On Standard tab write the concentration of prepared standards.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Put Blank on cell holder. Click ‘Zero’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OK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Click ‘Start’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OK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Write any file name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Click ‘Save’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Put 1</w:t>
      </w:r>
      <w:r w:rsidRPr="009E692A">
        <w:rPr>
          <w:sz w:val="24"/>
          <w:szCs w:val="24"/>
          <w:vertAlign w:val="superscript"/>
        </w:rPr>
        <w:t>st</w:t>
      </w:r>
      <w:r w:rsidRPr="009E692A">
        <w:rPr>
          <w:sz w:val="24"/>
          <w:szCs w:val="24"/>
        </w:rPr>
        <w:t xml:space="preserve"> Standard on cell holder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Click OK.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Follow Screen Instruction.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  <w:u w:val="single"/>
        </w:rPr>
      </w:pPr>
      <w:r w:rsidRPr="009E692A">
        <w:rPr>
          <w:sz w:val="24"/>
          <w:szCs w:val="24"/>
        </w:rPr>
        <w:t>After completion close the window.</w:t>
      </w:r>
    </w:p>
    <w:p w:rsidR="009E692A" w:rsidRPr="009E692A" w:rsidRDefault="009E692A" w:rsidP="000150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 xml:space="preserve">VALIDATION </w:t>
      </w:r>
      <w:r w:rsidRPr="009E692A">
        <w:rPr>
          <w:sz w:val="24"/>
          <w:szCs w:val="24"/>
        </w:rPr>
        <w:t>(to check weather the instrument is running OK)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Switch ON PC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‘Cary Win UV’ folder from desktop.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Open ‘Validate’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Select ‘Tests’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Select the radio button ‘Instrument Performance Tests’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OK.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‘Zero’.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Click ‘Start’</w:t>
      </w:r>
      <w:r w:rsidRPr="009E692A">
        <w:rPr>
          <w:sz w:val="24"/>
          <w:szCs w:val="24"/>
        </w:rPr>
        <w:sym w:font="Wingdings" w:char="F0E0"/>
      </w:r>
      <w:r w:rsidRPr="009E692A">
        <w:rPr>
          <w:sz w:val="24"/>
          <w:szCs w:val="24"/>
        </w:rPr>
        <w:t>Click ‘OK’.</w:t>
      </w:r>
    </w:p>
    <w:p w:rsidR="009E692A" w:rsidRPr="009E692A" w:rsidRDefault="009E692A" w:rsidP="000150D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Wait until the completion of the test (approximately 6~7 minutes).</w:t>
      </w:r>
    </w:p>
    <w:p w:rsidR="009E692A" w:rsidRPr="009E692A" w:rsidRDefault="009E692A" w:rsidP="004A075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9E692A">
        <w:rPr>
          <w:sz w:val="24"/>
          <w:szCs w:val="24"/>
        </w:rPr>
        <w:t>Check all the 4 tests result &amp; report it to Varian Tele Support No (033-64570930).</w:t>
      </w:r>
    </w:p>
    <w:p w:rsidR="009E692A" w:rsidRPr="0004378C" w:rsidRDefault="0004378C" w:rsidP="0004378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04378C">
        <w:rPr>
          <w:sz w:val="24"/>
          <w:szCs w:val="24"/>
        </w:rPr>
        <w:t>To take any print out of report click print.</w:t>
      </w:r>
    </w:p>
    <w:p w:rsidR="009E692A" w:rsidRPr="009E692A" w:rsidRDefault="009E692A" w:rsidP="009E692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E692A">
        <w:rPr>
          <w:b/>
          <w:sz w:val="24"/>
          <w:szCs w:val="24"/>
        </w:rPr>
        <w:t>CALIBRATION:</w:t>
      </w:r>
    </w:p>
    <w:p w:rsidR="009E692A" w:rsidRPr="009E692A" w:rsidRDefault="009E692A" w:rsidP="0004378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sz w:val="24"/>
          <w:szCs w:val="24"/>
        </w:rPr>
      </w:pPr>
      <w:r w:rsidRPr="009E692A">
        <w:rPr>
          <w:b/>
          <w:bCs/>
          <w:sz w:val="24"/>
          <w:szCs w:val="24"/>
        </w:rPr>
        <w:t>Control of Wave length:</w:t>
      </w:r>
    </w:p>
    <w:p w:rsidR="0004378C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1.4 M Perchloric acid solution:</w:t>
      </w:r>
    </w:p>
    <w:p w:rsidR="0004378C" w:rsidRPr="0004378C" w:rsidRDefault="009E692A" w:rsidP="0004378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/>
          <w:bCs/>
          <w:color w:val="000000"/>
          <w:sz w:val="24"/>
          <w:szCs w:val="24"/>
        </w:rPr>
      </w:pPr>
      <w:r w:rsidRPr="0004378C">
        <w:rPr>
          <w:bCs/>
          <w:color w:val="000000"/>
          <w:sz w:val="24"/>
          <w:szCs w:val="24"/>
        </w:rPr>
        <w:t>Take 11.5 mL of perchloric acid (60% w/w strength) into a clean and dried 100 mL volumetric flask.</w:t>
      </w:r>
    </w:p>
    <w:p w:rsidR="0004378C" w:rsidRPr="0004378C" w:rsidRDefault="009E692A" w:rsidP="0004378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/>
          <w:bCs/>
          <w:color w:val="000000"/>
          <w:sz w:val="24"/>
          <w:szCs w:val="24"/>
        </w:rPr>
      </w:pPr>
      <w:r w:rsidRPr="0004378C">
        <w:rPr>
          <w:bCs/>
          <w:color w:val="000000"/>
          <w:sz w:val="24"/>
          <w:szCs w:val="24"/>
        </w:rPr>
        <w:t>Dissolve and dilute to 100 mL with water.</w:t>
      </w:r>
    </w:p>
    <w:p w:rsidR="009E692A" w:rsidRPr="0004378C" w:rsidRDefault="009E692A" w:rsidP="0004378C">
      <w:pPr>
        <w:pStyle w:val="ListParagraph"/>
        <w:suppressLineNumbers/>
        <w:suppressAutoHyphens/>
        <w:spacing w:line="360" w:lineRule="auto"/>
        <w:ind w:left="2970"/>
        <w:jc w:val="both"/>
        <w:rPr>
          <w:b/>
          <w:bCs/>
          <w:color w:val="000000"/>
          <w:sz w:val="24"/>
          <w:szCs w:val="24"/>
        </w:rPr>
      </w:pPr>
      <w:r w:rsidRPr="0004378C">
        <w:rPr>
          <w:b/>
          <w:bCs/>
          <w:color w:val="000000"/>
          <w:sz w:val="24"/>
          <w:szCs w:val="24"/>
        </w:rPr>
        <w:t>Note:</w:t>
      </w:r>
      <w:r w:rsidRPr="0004378C">
        <w:rPr>
          <w:bCs/>
          <w:color w:val="000000"/>
          <w:sz w:val="24"/>
          <w:szCs w:val="24"/>
        </w:rPr>
        <w:t xml:space="preserve"> Dilute 8.5 mL to 100 mL with water in case of 70% w/w strength perchloric acid</w:t>
      </w:r>
      <w:r w:rsidRPr="0004378C">
        <w:rPr>
          <w:bCs/>
          <w:color w:val="0000FF"/>
          <w:sz w:val="24"/>
          <w:szCs w:val="24"/>
        </w:rPr>
        <w:t>.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Holmium per chlorate:</w:t>
      </w:r>
    </w:p>
    <w:p w:rsidR="009E692A" w:rsidRPr="009E692A" w:rsidRDefault="009E692A" w:rsidP="0004378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Weigh accurately about 400 mg of Holmium oxide into a 10 mL volumetric flask containing about 5 mL of 1.4M perchloric acid solution. And kept aside the solution for 24 hours.</w:t>
      </w:r>
    </w:p>
    <w:p w:rsidR="009E692A" w:rsidRPr="009E692A" w:rsidRDefault="009E692A" w:rsidP="0004378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Shake the solution well to dissolve Holmium oxide completely.</w:t>
      </w:r>
    </w:p>
    <w:p w:rsidR="009E692A" w:rsidRPr="009E692A" w:rsidRDefault="009E692A" w:rsidP="0004378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Dilute to 10 mL with 1.4M perchloric acid solution.</w:t>
      </w:r>
    </w:p>
    <w:p w:rsidR="009E692A" w:rsidRPr="009E692A" w:rsidRDefault="009E692A" w:rsidP="0004378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Procedure: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Take a pair of matched quartz cells having a path length of 1cm.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Perform the baseline correction with 1.4M perchloric acid solution from 200 nm to 600 nm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Remove the cell from sample compartment.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 xml:space="preserve">Rinse the sample cell with Holmium per chlorate solution fill the cell with the same, clean the smooth surface of the cell with tissue paper and place </w:t>
      </w:r>
      <w:r w:rsidR="0004378C" w:rsidRPr="009E692A">
        <w:rPr>
          <w:bCs/>
          <w:color w:val="000000"/>
          <w:sz w:val="24"/>
          <w:szCs w:val="24"/>
        </w:rPr>
        <w:t>within</w:t>
      </w:r>
      <w:r w:rsidRPr="009E692A">
        <w:rPr>
          <w:bCs/>
          <w:color w:val="000000"/>
          <w:sz w:val="24"/>
          <w:szCs w:val="24"/>
        </w:rPr>
        <w:t xml:space="preserve"> the sample compartment.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Scan from 200 nm to 600 nm.</w:t>
      </w:r>
    </w:p>
    <w:p w:rsidR="009E692A" w:rsidRPr="009E692A" w:rsidRDefault="009E692A" w:rsidP="0004378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The spectrum should show the maximum at the following wave lengths.</w:t>
      </w:r>
    </w:p>
    <w:tbl>
      <w:tblPr>
        <w:tblStyle w:val="TableGrid"/>
        <w:tblW w:w="0" w:type="auto"/>
        <w:tblInd w:w="2736" w:type="dxa"/>
        <w:tblLook w:val="04A0"/>
      </w:tblPr>
      <w:tblGrid>
        <w:gridCol w:w="2088"/>
        <w:gridCol w:w="2070"/>
      </w:tblGrid>
      <w:tr w:rsidR="001B250C" w:rsidTr="001B250C">
        <w:tc>
          <w:tcPr>
            <w:tcW w:w="2088" w:type="dxa"/>
          </w:tcPr>
          <w:p w:rsidR="001B250C" w:rsidRDefault="001B250C" w:rsidP="001B250C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/>
                <w:bCs/>
                <w:color w:val="000000"/>
                <w:sz w:val="24"/>
                <w:szCs w:val="24"/>
              </w:rPr>
              <w:t>Maxima (nm)</w:t>
            </w:r>
          </w:p>
        </w:tc>
        <w:tc>
          <w:tcPr>
            <w:tcW w:w="2070" w:type="dxa"/>
          </w:tcPr>
          <w:p w:rsidR="001B250C" w:rsidRDefault="001B250C" w:rsidP="001B250C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/>
                <w:bCs/>
                <w:color w:val="000000"/>
                <w:sz w:val="24"/>
                <w:szCs w:val="24"/>
              </w:rPr>
              <w:t>Tolerance (nm)</w:t>
            </w:r>
          </w:p>
        </w:tc>
      </w:tr>
      <w:tr w:rsidR="001B250C" w:rsidTr="001B250C">
        <w:tc>
          <w:tcPr>
            <w:tcW w:w="2088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241.15 nm</w:t>
            </w:r>
          </w:p>
        </w:tc>
        <w:tc>
          <w:tcPr>
            <w:tcW w:w="2070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  <w:u w:val="single"/>
              </w:rPr>
              <w:t>+</w:t>
            </w:r>
            <w:r w:rsidRPr="009E692A">
              <w:rPr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1B250C" w:rsidTr="001B250C">
        <w:tc>
          <w:tcPr>
            <w:tcW w:w="2088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287.15 nm</w:t>
            </w:r>
          </w:p>
        </w:tc>
        <w:tc>
          <w:tcPr>
            <w:tcW w:w="2070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  <w:u w:val="single"/>
              </w:rPr>
              <w:t>+</w:t>
            </w:r>
            <w:r w:rsidRPr="009E692A">
              <w:rPr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1B250C" w:rsidTr="001B250C">
        <w:tc>
          <w:tcPr>
            <w:tcW w:w="2088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361.5 nm</w:t>
            </w:r>
          </w:p>
        </w:tc>
        <w:tc>
          <w:tcPr>
            <w:tcW w:w="2070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  <w:u w:val="single"/>
              </w:rPr>
              <w:t>+</w:t>
            </w:r>
            <w:r w:rsidRPr="009E692A">
              <w:rPr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1B250C" w:rsidTr="001B250C">
        <w:tc>
          <w:tcPr>
            <w:tcW w:w="2088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536.3 nm</w:t>
            </w:r>
          </w:p>
        </w:tc>
        <w:tc>
          <w:tcPr>
            <w:tcW w:w="2070" w:type="dxa"/>
          </w:tcPr>
          <w:p w:rsidR="001B250C" w:rsidRPr="009E692A" w:rsidRDefault="001B250C" w:rsidP="001B250C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  <w:u w:val="single"/>
              </w:rPr>
            </w:pPr>
            <w:r w:rsidRPr="009E692A">
              <w:rPr>
                <w:bCs/>
                <w:color w:val="000000"/>
                <w:sz w:val="24"/>
                <w:szCs w:val="24"/>
                <w:u w:val="single"/>
              </w:rPr>
              <w:t>+</w:t>
            </w:r>
            <w:r w:rsidRPr="009E692A">
              <w:rPr>
                <w:bCs/>
                <w:color w:val="000000"/>
                <w:sz w:val="24"/>
                <w:szCs w:val="24"/>
              </w:rPr>
              <w:t xml:space="preserve"> 3</w:t>
            </w:r>
          </w:p>
        </w:tc>
      </w:tr>
    </w:tbl>
    <w:p w:rsidR="009E692A" w:rsidRPr="009E692A" w:rsidRDefault="009E692A" w:rsidP="001B250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Control of Absorbance: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0.005M Sulphuric acid:</w:t>
      </w:r>
    </w:p>
    <w:p w:rsidR="009E692A" w:rsidRPr="009E692A" w:rsidRDefault="009E692A" w:rsidP="001B250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Add cautiously 2.8 mL conc. Sulphuric acid into 50 mL water and dilute to 100 mL with water.</w:t>
      </w:r>
    </w:p>
    <w:p w:rsidR="009E692A" w:rsidRPr="009E692A" w:rsidRDefault="009E692A" w:rsidP="001B250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Take 1 mL of above prepared solution into a 100 mL volumetric flask.</w:t>
      </w:r>
    </w:p>
    <w:p w:rsidR="009E692A" w:rsidRPr="009E692A" w:rsidRDefault="009E692A" w:rsidP="001B250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Dilute to 100 mL with water.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K</w:t>
      </w:r>
      <w:r w:rsidRPr="009E692A">
        <w:rPr>
          <w:b/>
          <w:bCs/>
          <w:color w:val="000000"/>
          <w:sz w:val="24"/>
          <w:szCs w:val="24"/>
          <w:vertAlign w:val="subscript"/>
        </w:rPr>
        <w:t>2</w:t>
      </w:r>
      <w:r w:rsidRPr="009E692A">
        <w:rPr>
          <w:b/>
          <w:bCs/>
          <w:color w:val="000000"/>
          <w:sz w:val="24"/>
          <w:szCs w:val="24"/>
        </w:rPr>
        <w:t>Cr</w:t>
      </w:r>
      <w:r w:rsidRPr="009E692A">
        <w:rPr>
          <w:b/>
          <w:bCs/>
          <w:color w:val="000000"/>
          <w:sz w:val="24"/>
          <w:szCs w:val="24"/>
          <w:vertAlign w:val="subscript"/>
        </w:rPr>
        <w:t>2</w:t>
      </w:r>
      <w:r w:rsidRPr="009E692A">
        <w:rPr>
          <w:b/>
          <w:bCs/>
          <w:color w:val="000000"/>
          <w:sz w:val="24"/>
          <w:szCs w:val="24"/>
        </w:rPr>
        <w:t>O</w:t>
      </w:r>
      <w:r w:rsidRPr="009E692A">
        <w:rPr>
          <w:b/>
          <w:bCs/>
          <w:color w:val="000000"/>
          <w:sz w:val="24"/>
          <w:szCs w:val="24"/>
          <w:vertAlign w:val="subscript"/>
        </w:rPr>
        <w:t>7</w:t>
      </w:r>
      <w:r w:rsidRPr="009E692A">
        <w:rPr>
          <w:b/>
          <w:bCs/>
          <w:color w:val="000000"/>
          <w:sz w:val="24"/>
          <w:szCs w:val="24"/>
        </w:rPr>
        <w:t xml:space="preserve"> UV solution:</w:t>
      </w:r>
    </w:p>
    <w:p w:rsidR="009E692A" w:rsidRPr="009E692A" w:rsidRDefault="009E692A" w:rsidP="001B250C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Weigh accurately about 200 mg of AR grade K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Cr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O</w:t>
      </w:r>
      <w:r w:rsidRPr="009E692A">
        <w:rPr>
          <w:bCs/>
          <w:color w:val="000000"/>
          <w:sz w:val="24"/>
          <w:szCs w:val="24"/>
          <w:vertAlign w:val="subscript"/>
        </w:rPr>
        <w:t xml:space="preserve">7 </w:t>
      </w:r>
      <w:r w:rsidRPr="009E692A">
        <w:rPr>
          <w:bCs/>
          <w:color w:val="000000"/>
          <w:sz w:val="24"/>
          <w:szCs w:val="24"/>
        </w:rPr>
        <w:t>into a weighing bottle and heat at 200</w:t>
      </w:r>
      <w:r w:rsidRPr="009E692A">
        <w:rPr>
          <w:bCs/>
          <w:color w:val="000000"/>
          <w:sz w:val="24"/>
          <w:szCs w:val="24"/>
          <w:vertAlign w:val="superscript"/>
        </w:rPr>
        <w:t>o</w:t>
      </w:r>
      <w:r w:rsidRPr="009E692A">
        <w:rPr>
          <w:bCs/>
          <w:color w:val="000000"/>
          <w:sz w:val="24"/>
          <w:szCs w:val="24"/>
        </w:rPr>
        <w:t>C for 2 hours.</w:t>
      </w:r>
    </w:p>
    <w:p w:rsidR="009E692A" w:rsidRPr="009E692A" w:rsidRDefault="009E692A" w:rsidP="001B250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Stock solution: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1B250C">
        <w:rPr>
          <w:bCs/>
          <w:color w:val="000000"/>
          <w:sz w:val="24"/>
          <w:szCs w:val="24"/>
        </w:rPr>
        <w:t>Cooled</w:t>
      </w:r>
      <w:r w:rsidRPr="009E692A">
        <w:rPr>
          <w:bCs/>
          <w:color w:val="000000"/>
          <w:sz w:val="24"/>
          <w:szCs w:val="24"/>
        </w:rPr>
        <w:t xml:space="preserve"> it in a desiccator and weigh about 57.00 to 63.00 mg into a 100 mL volumetric flask containing 50 mL of 0.005M Sulphuric acid.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Shake the flask well to dissolve completely.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1B250C">
        <w:rPr>
          <w:bCs/>
          <w:color w:val="000000"/>
          <w:sz w:val="24"/>
          <w:szCs w:val="24"/>
        </w:rPr>
        <w:t>Dilute</w:t>
      </w:r>
      <w:r w:rsidRPr="009E692A">
        <w:rPr>
          <w:bCs/>
          <w:color w:val="000000"/>
          <w:sz w:val="24"/>
          <w:szCs w:val="24"/>
        </w:rPr>
        <w:t xml:space="preserve"> to 100 mL with 0.005M Sulphuric acid.</w:t>
      </w:r>
    </w:p>
    <w:p w:rsidR="009E692A" w:rsidRPr="009E692A" w:rsidRDefault="009E692A" w:rsidP="001B250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 xml:space="preserve">Preparation of UV solution: 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Take 1mL of above prepared stock solution into a 10 mL volumetric flask.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Dilute to 10 mL with 0.005M Sulphuric acid solution.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Examine this UV solution for the Control of Absorbance at 235nm, 257nm, 313nm and 350nm</w:t>
      </w:r>
    </w:p>
    <w:p w:rsidR="009E692A" w:rsidRPr="009E692A" w:rsidRDefault="009E692A" w:rsidP="001B250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For the Control of Absorbance at 430nm examine with stock solution.</w:t>
      </w:r>
    </w:p>
    <w:p w:rsidR="009E692A" w:rsidRPr="009E692A" w:rsidRDefault="009E692A" w:rsidP="0013716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Procedure: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Take a pair of matched quartz cells having a path length of 1cm.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Perform base line correction with 0.005M Sulphuric acid solution from 200 nm to 450 nm.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Remove the cell from sample compartment. Rinse the sample cell in K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Cr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O</w:t>
      </w:r>
      <w:r w:rsidRPr="009E692A">
        <w:rPr>
          <w:bCs/>
          <w:color w:val="000000"/>
          <w:sz w:val="24"/>
          <w:szCs w:val="24"/>
          <w:vertAlign w:val="subscript"/>
        </w:rPr>
        <w:t xml:space="preserve">7 </w:t>
      </w:r>
      <w:r w:rsidRPr="009E692A">
        <w:rPr>
          <w:bCs/>
          <w:color w:val="000000"/>
          <w:sz w:val="24"/>
          <w:szCs w:val="24"/>
        </w:rPr>
        <w:t>UV solution, fill the cell with same solution, clean the smooth surface with tissue paper.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Place the cell in sample compartment, scan from 200 nm to 450 nm and measure the absorbance at 235nm, 257nm, 313nm and 350nm.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Remove the cell from sample compartment. Rinse the sample cell in K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Cr</w:t>
      </w:r>
      <w:r w:rsidRPr="009E692A">
        <w:rPr>
          <w:bCs/>
          <w:color w:val="000000"/>
          <w:sz w:val="24"/>
          <w:szCs w:val="24"/>
          <w:vertAlign w:val="subscript"/>
        </w:rPr>
        <w:t>2</w:t>
      </w:r>
      <w:r w:rsidRPr="009E692A">
        <w:rPr>
          <w:bCs/>
          <w:color w:val="000000"/>
          <w:sz w:val="24"/>
          <w:szCs w:val="24"/>
        </w:rPr>
        <w:t>O</w:t>
      </w:r>
      <w:r w:rsidRPr="009E692A">
        <w:rPr>
          <w:bCs/>
          <w:color w:val="000000"/>
          <w:sz w:val="24"/>
          <w:szCs w:val="24"/>
          <w:vertAlign w:val="subscript"/>
        </w:rPr>
        <w:t xml:space="preserve">7 </w:t>
      </w:r>
      <w:r w:rsidRPr="009E692A">
        <w:rPr>
          <w:bCs/>
          <w:color w:val="000000"/>
          <w:sz w:val="24"/>
          <w:szCs w:val="24"/>
        </w:rPr>
        <w:t>stock solution, fill the cell with same solution, and clean the smooth surface with tissue paper.</w:t>
      </w:r>
    </w:p>
    <w:p w:rsidR="009E692A" w:rsidRP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Place the cell in sample compartment, scan at 430 and measure the absorbance at 430nm.</w:t>
      </w:r>
    </w:p>
    <w:p w:rsidR="009E692A" w:rsidRDefault="009E692A" w:rsidP="0013716C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Calculate the Specific absorbance using the following formula:</w:t>
      </w:r>
    </w:p>
    <w:p w:rsidR="009B0E6E" w:rsidRPr="009B0E6E" w:rsidRDefault="009B0E6E" w:rsidP="009B0E6E">
      <w:pPr>
        <w:pStyle w:val="ListParagraph"/>
        <w:suppressLineNumbers/>
        <w:suppressAutoHyphens/>
        <w:spacing w:line="360" w:lineRule="auto"/>
        <w:ind w:left="2592"/>
        <w:jc w:val="both"/>
        <w:rPr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 xml:space="preserve">Concentration of 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 xml:space="preserve">Weight of 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/>
                  <w:color w:val="000000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100</m:t>
          </m:r>
        </m:oMath>
      </m:oMathPara>
    </w:p>
    <w:tbl>
      <w:tblPr>
        <w:tblStyle w:val="TableGrid"/>
        <w:tblW w:w="0" w:type="auto"/>
        <w:tblInd w:w="2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4140"/>
      </w:tblGrid>
      <w:tr w:rsidR="009B0E6E" w:rsidTr="009B0E6E">
        <w:tc>
          <w:tcPr>
            <w:tcW w:w="3168" w:type="dxa"/>
          </w:tcPr>
          <w:p w:rsidR="009B0E6E" w:rsidRDefault="009B0E6E" w:rsidP="009B0E6E">
            <w:pPr>
              <w:pStyle w:val="CommentText"/>
              <w:jc w:val="both"/>
              <w:rPr>
                <w:bCs/>
                <w:color w:val="000000"/>
                <w:sz w:val="24"/>
                <w:szCs w:val="24"/>
                <w:vertAlign w:val="subscript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Concentration of K</w:t>
            </w:r>
            <w:r w:rsidRPr="009E692A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9E692A">
              <w:rPr>
                <w:bCs/>
                <w:color w:val="000000"/>
                <w:sz w:val="24"/>
                <w:szCs w:val="24"/>
              </w:rPr>
              <w:t>Cr</w:t>
            </w:r>
            <w:r w:rsidRPr="009E692A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9E692A">
              <w:rPr>
                <w:bCs/>
                <w:color w:val="000000"/>
                <w:sz w:val="24"/>
                <w:szCs w:val="24"/>
              </w:rPr>
              <w:t>O</w:t>
            </w:r>
            <w:r w:rsidRPr="009E692A">
              <w:rPr>
                <w:bCs/>
                <w:color w:val="000000"/>
                <w:sz w:val="24"/>
                <w:szCs w:val="24"/>
                <w:vertAlign w:val="subscript"/>
              </w:rPr>
              <w:t>7</w:t>
            </w:r>
          </w:p>
          <w:p w:rsidR="009B0E6E" w:rsidRDefault="009B0E6E" w:rsidP="009E692A">
            <w:pPr>
              <w:pStyle w:val="CommentText"/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(For stock solution at 430 nm)</w:t>
            </w:r>
          </w:p>
        </w:tc>
        <w:tc>
          <w:tcPr>
            <w:tcW w:w="4140" w:type="dxa"/>
          </w:tcPr>
          <w:p w:rsidR="009B0E6E" w:rsidRDefault="009B0E6E" w:rsidP="009E692A">
            <w:pPr>
              <w:pStyle w:val="CommentText"/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</w:rPr>
                      <m:t xml:space="preserve">Weight of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Cr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</w:rPr>
                      <m:t xml:space="preserve"> in gr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337E9F" w:rsidTr="008417D0">
        <w:tc>
          <w:tcPr>
            <w:tcW w:w="7308" w:type="dxa"/>
            <w:gridSpan w:val="2"/>
          </w:tcPr>
          <w:p w:rsidR="00337E9F" w:rsidRPr="009B0E6E" w:rsidRDefault="00337E9F" w:rsidP="00337E9F">
            <w:pPr>
              <w:pStyle w:val="CommentText"/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color w:val="000000"/>
                    <w:sz w:val="24"/>
                    <w:szCs w:val="24"/>
                  </w:rPr>
                  <m:t>Observed Specific Absorbance at x nm 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</w:rPr>
                      <m:t>Absorbance at x nm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4"/>
                        <w:szCs w:val="24"/>
                      </w:rPr>
                      <m:t xml:space="preserve">Conc. of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Cr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9E692A" w:rsidRPr="009E692A" w:rsidRDefault="009E692A" w:rsidP="009E692A">
      <w:pPr>
        <w:pStyle w:val="CommentText"/>
        <w:spacing w:line="360" w:lineRule="auto"/>
        <w:jc w:val="both"/>
        <w:rPr>
          <w:bCs/>
          <w:color w:val="000000"/>
          <w:sz w:val="24"/>
          <w:szCs w:val="24"/>
          <w:vertAlign w:val="subscript"/>
        </w:rPr>
      </w:pPr>
    </w:p>
    <w:p w:rsidR="009E692A" w:rsidRPr="009E692A" w:rsidRDefault="009E692A" w:rsidP="00337E9F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The specific absorbance against each wavelength should be as follows:</w:t>
      </w:r>
    </w:p>
    <w:tbl>
      <w:tblPr>
        <w:tblStyle w:val="TableGrid"/>
        <w:tblW w:w="0" w:type="auto"/>
        <w:tblInd w:w="2592" w:type="dxa"/>
        <w:tblLook w:val="04A0"/>
      </w:tblPr>
      <w:tblGrid>
        <w:gridCol w:w="2178"/>
        <w:gridCol w:w="2340"/>
        <w:gridCol w:w="2700"/>
      </w:tblGrid>
      <w:tr w:rsidR="00337E9F" w:rsidTr="00E708DF">
        <w:tc>
          <w:tcPr>
            <w:tcW w:w="2178" w:type="dxa"/>
          </w:tcPr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Wave Length</w:t>
            </w:r>
          </w:p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(nm)</w:t>
            </w:r>
          </w:p>
        </w:tc>
        <w:tc>
          <w:tcPr>
            <w:tcW w:w="2340" w:type="dxa"/>
          </w:tcPr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Specific Absorbance</w:t>
            </w:r>
          </w:p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(1% 1cm)</w:t>
            </w:r>
          </w:p>
        </w:tc>
        <w:tc>
          <w:tcPr>
            <w:tcW w:w="2700" w:type="dxa"/>
          </w:tcPr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Max Tolerance</w:t>
            </w:r>
          </w:p>
          <w:p w:rsidR="00337E9F" w:rsidRPr="00337E9F" w:rsidRDefault="00337E9F" w:rsidP="00337E9F">
            <w:pPr>
              <w:pStyle w:val="CommentTex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7E9F">
              <w:rPr>
                <w:b/>
                <w:bCs/>
                <w:color w:val="000000"/>
                <w:sz w:val="24"/>
                <w:szCs w:val="24"/>
              </w:rPr>
              <w:t>(nm)</w:t>
            </w:r>
          </w:p>
        </w:tc>
      </w:tr>
      <w:tr w:rsidR="00337E9F" w:rsidTr="00E708DF">
        <w:tc>
          <w:tcPr>
            <w:tcW w:w="2178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235</w:t>
            </w:r>
          </w:p>
        </w:tc>
        <w:tc>
          <w:tcPr>
            <w:tcW w:w="234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124.5</w:t>
            </w:r>
          </w:p>
        </w:tc>
        <w:tc>
          <w:tcPr>
            <w:tcW w:w="270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122.9 – 126.2</w:t>
            </w:r>
          </w:p>
        </w:tc>
      </w:tr>
      <w:tr w:rsidR="00337E9F" w:rsidTr="00E708DF">
        <w:tc>
          <w:tcPr>
            <w:tcW w:w="2178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257</w:t>
            </w:r>
          </w:p>
        </w:tc>
        <w:tc>
          <w:tcPr>
            <w:tcW w:w="234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144.5</w:t>
            </w:r>
          </w:p>
        </w:tc>
        <w:tc>
          <w:tcPr>
            <w:tcW w:w="270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142.8 – 146.2</w:t>
            </w:r>
          </w:p>
        </w:tc>
      </w:tr>
      <w:tr w:rsidR="00337E9F" w:rsidTr="00E708DF">
        <w:tc>
          <w:tcPr>
            <w:tcW w:w="2178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313</w:t>
            </w:r>
          </w:p>
        </w:tc>
        <w:tc>
          <w:tcPr>
            <w:tcW w:w="234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48.6</w:t>
            </w:r>
          </w:p>
        </w:tc>
        <w:tc>
          <w:tcPr>
            <w:tcW w:w="270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47.0 – 50.3</w:t>
            </w:r>
          </w:p>
        </w:tc>
      </w:tr>
      <w:tr w:rsidR="00337E9F" w:rsidTr="00E708DF">
        <w:tc>
          <w:tcPr>
            <w:tcW w:w="2178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34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107.3</w:t>
            </w:r>
          </w:p>
        </w:tc>
        <w:tc>
          <w:tcPr>
            <w:tcW w:w="270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105.6 – 109.0</w:t>
            </w:r>
          </w:p>
        </w:tc>
      </w:tr>
      <w:tr w:rsidR="00337E9F" w:rsidTr="00E708DF">
        <w:tc>
          <w:tcPr>
            <w:tcW w:w="2178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430</w:t>
            </w:r>
          </w:p>
        </w:tc>
        <w:tc>
          <w:tcPr>
            <w:tcW w:w="234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2700" w:type="dxa"/>
          </w:tcPr>
          <w:p w:rsidR="00337E9F" w:rsidRPr="009E692A" w:rsidRDefault="00337E9F" w:rsidP="00337E9F">
            <w:pPr>
              <w:pStyle w:val="CommentText"/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E692A">
              <w:rPr>
                <w:bCs/>
                <w:color w:val="000000"/>
                <w:sz w:val="24"/>
                <w:szCs w:val="24"/>
              </w:rPr>
              <w:t>15.7 – 16.1</w:t>
            </w:r>
          </w:p>
        </w:tc>
      </w:tr>
    </w:tbl>
    <w:p w:rsidR="00E708DF" w:rsidRDefault="00E708DF" w:rsidP="00E708DF">
      <w:pPr>
        <w:pStyle w:val="ListParagraph"/>
        <w:suppressLineNumbers/>
        <w:suppressAutoHyphens/>
        <w:spacing w:line="360" w:lineRule="auto"/>
        <w:ind w:left="1728"/>
        <w:jc w:val="both"/>
        <w:rPr>
          <w:b/>
          <w:bCs/>
          <w:color w:val="000000"/>
          <w:sz w:val="24"/>
          <w:szCs w:val="24"/>
        </w:rPr>
      </w:pPr>
    </w:p>
    <w:p w:rsidR="009E692A" w:rsidRPr="009E692A" w:rsidRDefault="009E692A" w:rsidP="00E708D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Limit of Stray light:</w:t>
      </w:r>
    </w:p>
    <w:p w:rsidR="009E692A" w:rsidRPr="009E692A" w:rsidRDefault="009E692A" w:rsidP="00E708DF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Preparation of 1.2% w/v Potassium Chloride solutions:</w:t>
      </w:r>
    </w:p>
    <w:p w:rsidR="009E692A" w:rsidRPr="001E6D6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 xml:space="preserve">Weigh accurately about 2 g of AR grade KCl </w:t>
      </w:r>
      <w:r w:rsidRPr="009E692A">
        <w:rPr>
          <w:bCs/>
          <w:color w:val="000000"/>
          <w:sz w:val="24"/>
          <w:szCs w:val="24"/>
          <w:vertAlign w:val="subscript"/>
        </w:rPr>
        <w:t xml:space="preserve"> </w:t>
      </w:r>
      <w:r w:rsidRPr="009E692A">
        <w:rPr>
          <w:bCs/>
          <w:color w:val="000000"/>
          <w:sz w:val="24"/>
          <w:szCs w:val="24"/>
        </w:rPr>
        <w:t>into a weighing bottle and heat at 120</w:t>
      </w:r>
      <w:r w:rsidRPr="009E692A">
        <w:rPr>
          <w:bCs/>
          <w:color w:val="000000"/>
          <w:sz w:val="24"/>
          <w:szCs w:val="24"/>
          <w:vertAlign w:val="superscript"/>
        </w:rPr>
        <w:t>o</w:t>
      </w:r>
      <w:r w:rsidRPr="009E692A">
        <w:rPr>
          <w:bCs/>
          <w:color w:val="000000"/>
          <w:sz w:val="24"/>
          <w:szCs w:val="24"/>
        </w:rPr>
        <w:t xml:space="preserve">C for </w:t>
      </w:r>
      <w:r w:rsidRPr="001E6D6A">
        <w:rPr>
          <w:bCs/>
          <w:color w:val="000000"/>
          <w:sz w:val="24"/>
          <w:szCs w:val="24"/>
        </w:rPr>
        <w:t>2 hours.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Weigh accurately about 1.2 g of KCl into a 100 mL volumetric flask.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Dissolve and dilute to 100 mL with water.</w:t>
      </w:r>
    </w:p>
    <w:p w:rsidR="009E692A" w:rsidRPr="009E692A" w:rsidRDefault="009E692A" w:rsidP="001E6D6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bCs/>
          <w:color w:val="000000"/>
          <w:sz w:val="24"/>
          <w:szCs w:val="24"/>
        </w:rPr>
      </w:pPr>
      <w:r w:rsidRPr="009E692A">
        <w:rPr>
          <w:b/>
          <w:bCs/>
          <w:color w:val="000000"/>
          <w:sz w:val="24"/>
          <w:szCs w:val="24"/>
        </w:rPr>
        <w:t>Procedure: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Take a pair of matched quartz cells having a path length of 1cm.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Perform base line correction with water.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Remove the cell from sample compartment. Rinse the sample cell KCl solution, fill the cell with same solution, and clean the smooth surface with tissue paper.</w:t>
      </w:r>
    </w:p>
    <w:p w:rsidR="009E692A" w:rsidRPr="009E692A" w:rsidRDefault="009E692A" w:rsidP="001E6D6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9E692A">
        <w:rPr>
          <w:bCs/>
          <w:color w:val="000000"/>
          <w:sz w:val="24"/>
          <w:szCs w:val="24"/>
        </w:rPr>
        <w:t>Measure the absorbance between 220 nm to 190 nm.</w:t>
      </w:r>
    </w:p>
    <w:p w:rsidR="009E692A" w:rsidRPr="001E6D6A" w:rsidRDefault="009E692A" w:rsidP="009E692A">
      <w:pPr>
        <w:pStyle w:val="ListParagraph"/>
        <w:numPr>
          <w:ilvl w:val="0"/>
          <w:numId w:val="27"/>
        </w:numPr>
        <w:suppressLineNumbers/>
        <w:tabs>
          <w:tab w:val="clear" w:pos="720"/>
        </w:tabs>
        <w:suppressAutoHyphens/>
        <w:spacing w:line="360" w:lineRule="auto"/>
        <w:ind w:left="2970"/>
        <w:jc w:val="both"/>
        <w:rPr>
          <w:bCs/>
          <w:color w:val="000000"/>
          <w:sz w:val="24"/>
          <w:szCs w:val="24"/>
        </w:rPr>
      </w:pPr>
      <w:r w:rsidRPr="001E6D6A">
        <w:rPr>
          <w:bCs/>
          <w:color w:val="000000"/>
          <w:sz w:val="24"/>
          <w:szCs w:val="24"/>
        </w:rPr>
        <w:t>Acceptance</w:t>
      </w:r>
      <w:r w:rsidRPr="009E692A">
        <w:rPr>
          <w:b/>
          <w:bCs/>
          <w:color w:val="000000"/>
          <w:sz w:val="24"/>
          <w:szCs w:val="24"/>
        </w:rPr>
        <w:t xml:space="preserve"> criteria:</w:t>
      </w:r>
      <w:r w:rsidRPr="009E692A">
        <w:rPr>
          <w:bCs/>
          <w:color w:val="000000"/>
          <w:sz w:val="24"/>
          <w:szCs w:val="24"/>
        </w:rPr>
        <w:t xml:space="preserve"> The Absorbance should be more than 2.00 at 198 n</w:t>
      </w:r>
      <w:r w:rsidR="001E6D6A">
        <w:rPr>
          <w:bCs/>
          <w:color w:val="000000"/>
          <w:sz w:val="24"/>
          <w:szCs w:val="24"/>
        </w:rPr>
        <w:t xml:space="preserve">m </w:t>
      </w:r>
      <w:r w:rsidRPr="001E6D6A">
        <w:rPr>
          <w:bCs/>
          <w:sz w:val="24"/>
          <w:szCs w:val="24"/>
        </w:rPr>
        <w:t>Calibration shall be done for every six month</w:t>
      </w:r>
      <w:r w:rsidRPr="001E6D6A">
        <w:rPr>
          <w:b/>
          <w:bCs/>
          <w:sz w:val="24"/>
          <w:szCs w:val="24"/>
        </w:rPr>
        <w:t xml:space="preserve"> (±7</w:t>
      </w:r>
      <w:r w:rsidRPr="001E6D6A">
        <w:rPr>
          <w:bCs/>
          <w:sz w:val="24"/>
          <w:szCs w:val="24"/>
        </w:rPr>
        <w:t xml:space="preserve"> Days)</w:t>
      </w:r>
    </w:p>
    <w:p w:rsidR="00EC1CCE" w:rsidRPr="0046371F" w:rsidRDefault="00D70636" w:rsidP="00D7063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46371F" w:rsidRPr="0046371F" w:rsidRDefault="0046371F" w:rsidP="0046371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E692A">
        <w:rPr>
          <w:sz w:val="24"/>
          <w:szCs w:val="24"/>
        </w:rPr>
        <w:t>Instrument Usage log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46371F">
        <w:rPr>
          <w:sz w:val="24"/>
          <w:szCs w:val="24"/>
        </w:rPr>
        <w:t>QC048-FM086</w:t>
      </w:r>
    </w:p>
    <w:p w:rsidR="0046371F" w:rsidRPr="009E692A" w:rsidRDefault="0046371F" w:rsidP="0046371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E692A">
        <w:rPr>
          <w:sz w:val="24"/>
          <w:szCs w:val="24"/>
        </w:rPr>
        <w:t>Visible spectrometer Calibration Record</w:t>
      </w:r>
      <w:r>
        <w:rPr>
          <w:sz w:val="24"/>
          <w:szCs w:val="24"/>
        </w:rPr>
        <w:tab/>
        <w:t xml:space="preserve">: </w:t>
      </w:r>
      <w:r w:rsidRPr="005D6A4A">
        <w:rPr>
          <w:sz w:val="24"/>
          <w:szCs w:val="24"/>
        </w:rPr>
        <w:t>QC03</w:t>
      </w:r>
      <w:r>
        <w:rPr>
          <w:sz w:val="24"/>
          <w:szCs w:val="24"/>
        </w:rPr>
        <w:t>4</w:t>
      </w:r>
      <w:r w:rsidRPr="005D6A4A">
        <w:rPr>
          <w:sz w:val="24"/>
          <w:szCs w:val="24"/>
        </w:rPr>
        <w:t>-FM0</w:t>
      </w:r>
      <w:r>
        <w:rPr>
          <w:sz w:val="24"/>
          <w:szCs w:val="24"/>
        </w:rPr>
        <w:t>70</w:t>
      </w:r>
    </w:p>
    <w:p w:rsidR="00BC151D" w:rsidRPr="009E692A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9E692A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1D7556" w:rsidRPr="009E692A" w:rsidTr="001D7556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1D7556" w:rsidRPr="009E692A" w:rsidRDefault="001D7556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92A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1D7556" w:rsidRPr="009E692A" w:rsidRDefault="001D7556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92A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1D7556" w:rsidRPr="009E692A" w:rsidRDefault="001D7556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92A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1D7556" w:rsidRPr="009E692A" w:rsidRDefault="001D7556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92A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1D7556" w:rsidRPr="009E692A" w:rsidTr="001D7556">
        <w:trPr>
          <w:trHeight w:val="593"/>
          <w:jc w:val="center"/>
        </w:trPr>
        <w:tc>
          <w:tcPr>
            <w:tcW w:w="1347" w:type="dxa"/>
            <w:vAlign w:val="center"/>
          </w:tcPr>
          <w:p w:rsidR="001D7556" w:rsidRPr="009E692A" w:rsidRDefault="001D7556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1D7556" w:rsidRPr="009E692A" w:rsidRDefault="001D7556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</w:rPr>
              <w:t>11.09.2013</w:t>
            </w:r>
          </w:p>
        </w:tc>
        <w:tc>
          <w:tcPr>
            <w:tcW w:w="4111" w:type="dxa"/>
            <w:vAlign w:val="center"/>
          </w:tcPr>
          <w:p w:rsidR="001D7556" w:rsidRPr="002B51BB" w:rsidRDefault="001D7556" w:rsidP="001E6D6A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3A5B10">
              <w:rPr>
                <w:b w:val="0"/>
                <w:bCs/>
                <w:i w:val="0"/>
                <w:iCs/>
                <w:szCs w:val="24"/>
              </w:rPr>
              <w:t>New SOP “</w:t>
            </w:r>
            <w:r w:rsidRPr="003A5B10">
              <w:rPr>
                <w:b w:val="0"/>
                <w:i w:val="0"/>
                <w:szCs w:val="24"/>
              </w:rPr>
              <w:t>Operation and calibration of UV Visible spectrophotometer.</w:t>
            </w:r>
            <w:r w:rsidRPr="003A5B10">
              <w:rPr>
                <w:b w:val="0"/>
                <w:bCs/>
                <w:i w:val="0"/>
                <w:iCs/>
                <w:szCs w:val="24"/>
              </w:rPr>
              <w:t>”</w:t>
            </w:r>
            <w:r w:rsidRPr="002B51BB">
              <w:rPr>
                <w:b w:val="0"/>
                <w:bCs/>
                <w:i w:val="0"/>
                <w:iCs/>
                <w:szCs w:val="24"/>
              </w:rPr>
              <w:t xml:space="preserve"> is introduced across all the API manufacturing facilities of Discovery.</w:t>
            </w:r>
          </w:p>
        </w:tc>
        <w:tc>
          <w:tcPr>
            <w:tcW w:w="1561" w:type="dxa"/>
            <w:vAlign w:val="center"/>
          </w:tcPr>
          <w:p w:rsidR="001D7556" w:rsidRPr="009E692A" w:rsidRDefault="001D7556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D7556" w:rsidRPr="009E692A" w:rsidTr="001D7556">
        <w:trPr>
          <w:trHeight w:val="593"/>
          <w:jc w:val="center"/>
        </w:trPr>
        <w:tc>
          <w:tcPr>
            <w:tcW w:w="1347" w:type="dxa"/>
            <w:vAlign w:val="center"/>
          </w:tcPr>
          <w:p w:rsidR="001D7556" w:rsidRPr="009E692A" w:rsidRDefault="001D7556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1D7556" w:rsidRPr="009E692A" w:rsidRDefault="0046371F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01.06.2014</w:t>
            </w:r>
          </w:p>
        </w:tc>
        <w:tc>
          <w:tcPr>
            <w:tcW w:w="4111" w:type="dxa"/>
            <w:vAlign w:val="center"/>
          </w:tcPr>
          <w:p w:rsidR="001D7556" w:rsidRPr="00C55FFD" w:rsidRDefault="001D7556" w:rsidP="001E6D6A">
            <w:pPr>
              <w:pStyle w:val="BodyText2"/>
              <w:spacing w:line="360" w:lineRule="auto"/>
              <w:rPr>
                <w:b w:val="0"/>
                <w:bCs/>
                <w:i w:val="0"/>
                <w:iCs/>
              </w:rPr>
            </w:pPr>
            <w:r w:rsidRPr="00C55FFD">
              <w:rPr>
                <w:b w:val="0"/>
                <w:i w:val="0"/>
              </w:rPr>
              <w:t>Formats are the part of SOP. So prepared separately.</w:t>
            </w:r>
          </w:p>
        </w:tc>
        <w:tc>
          <w:tcPr>
            <w:tcW w:w="1561" w:type="dxa"/>
            <w:vAlign w:val="center"/>
          </w:tcPr>
          <w:p w:rsidR="001D7556" w:rsidRPr="009E692A" w:rsidRDefault="001D7556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D7556" w:rsidRPr="009E692A" w:rsidTr="001D7556">
        <w:trPr>
          <w:trHeight w:val="593"/>
          <w:jc w:val="center"/>
        </w:trPr>
        <w:tc>
          <w:tcPr>
            <w:tcW w:w="1347" w:type="dxa"/>
            <w:vAlign w:val="center"/>
          </w:tcPr>
          <w:p w:rsidR="001D7556" w:rsidRPr="009E692A" w:rsidRDefault="001D7556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1D7556" w:rsidRPr="009E692A" w:rsidRDefault="001D7556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1D7556" w:rsidRPr="009E692A" w:rsidRDefault="0046371F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in line with SOP-QA-001-04</w:t>
            </w:r>
          </w:p>
        </w:tc>
        <w:tc>
          <w:tcPr>
            <w:tcW w:w="1561" w:type="dxa"/>
            <w:vAlign w:val="center"/>
          </w:tcPr>
          <w:p w:rsidR="001D7556" w:rsidRPr="009E692A" w:rsidRDefault="0046371F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QC-CRF-025-16</w:t>
            </w:r>
          </w:p>
        </w:tc>
      </w:tr>
    </w:tbl>
    <w:p w:rsidR="00EC0BCC" w:rsidRPr="009E692A" w:rsidRDefault="00EC0BCC" w:rsidP="005B4C63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9E692A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8B1" w:rsidRDefault="00A778B1" w:rsidP="00C5375A">
      <w:pPr>
        <w:spacing w:line="240" w:lineRule="auto"/>
      </w:pPr>
      <w:r>
        <w:separator/>
      </w:r>
    </w:p>
  </w:endnote>
  <w:endnote w:type="continuationSeparator" w:id="1">
    <w:p w:rsidR="00A778B1" w:rsidRDefault="00A778B1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F83" w:rsidRDefault="00875F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520DFE" w:rsidTr="00715391">
      <w:tc>
        <w:tcPr>
          <w:tcW w:w="1548" w:type="dxa"/>
        </w:tcPr>
        <w:p w:rsidR="00520DFE" w:rsidRDefault="00520DFE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520DFE" w:rsidRPr="00DC4A87" w:rsidRDefault="00520DFE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520DFE" w:rsidRPr="00DC4A87" w:rsidRDefault="00520DFE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520DFE" w:rsidRPr="00DC4A87" w:rsidRDefault="00520DFE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520DFE" w:rsidTr="00715391">
      <w:trPr>
        <w:trHeight w:val="720"/>
      </w:trPr>
      <w:tc>
        <w:tcPr>
          <w:tcW w:w="1548" w:type="dxa"/>
          <w:vAlign w:val="center"/>
        </w:tcPr>
        <w:p w:rsidR="00520DFE" w:rsidRPr="00DC4A87" w:rsidRDefault="00520DFE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520DFE" w:rsidRDefault="00520DFE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520DFE" w:rsidRDefault="00520DFE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520DFE" w:rsidRDefault="00520DFE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6371F" w:rsidTr="00815967">
      <w:trPr>
        <w:trHeight w:val="360"/>
      </w:trPr>
      <w:tc>
        <w:tcPr>
          <w:tcW w:w="1548" w:type="dxa"/>
          <w:vAlign w:val="center"/>
        </w:tcPr>
        <w:p w:rsidR="0046371F" w:rsidRPr="00DC4A87" w:rsidRDefault="0046371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46371F" w:rsidRPr="0046371F" w:rsidRDefault="00306189" w:rsidP="0081399D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46371F" w:rsidRPr="0046371F" w:rsidRDefault="00306189" w:rsidP="0081399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46371F" w:rsidRPr="0046371F" w:rsidRDefault="00306189" w:rsidP="0081399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46371F" w:rsidTr="00815967">
      <w:trPr>
        <w:trHeight w:val="360"/>
      </w:trPr>
      <w:tc>
        <w:tcPr>
          <w:tcW w:w="1548" w:type="dxa"/>
          <w:vAlign w:val="center"/>
        </w:tcPr>
        <w:p w:rsidR="0046371F" w:rsidRPr="00DC4A87" w:rsidRDefault="0046371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46371F" w:rsidRPr="0046371F" w:rsidRDefault="0046371F" w:rsidP="0081399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6371F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46371F" w:rsidRPr="0046371F" w:rsidRDefault="0046371F" w:rsidP="0081399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6371F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46371F" w:rsidRPr="0046371F" w:rsidRDefault="0046371F" w:rsidP="0081399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6371F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520DFE" w:rsidRPr="00FB1CCC" w:rsidRDefault="00520DFE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F83" w:rsidRDefault="00875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8B1" w:rsidRDefault="00A778B1" w:rsidP="00C5375A">
      <w:pPr>
        <w:spacing w:line="240" w:lineRule="auto"/>
      </w:pPr>
      <w:r>
        <w:separator/>
      </w:r>
    </w:p>
  </w:footnote>
  <w:footnote w:type="continuationSeparator" w:id="1">
    <w:p w:rsidR="00A778B1" w:rsidRDefault="00A778B1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F83" w:rsidRDefault="00875F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1C6874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1C6874" w:rsidRDefault="00875F83" w:rsidP="001C6280">
          <w:pPr>
            <w:jc w:val="center"/>
          </w:pPr>
          <w:r w:rsidRPr="00875F83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-212090</wp:posOffset>
                </wp:positionV>
                <wp:extent cx="933450" cy="790575"/>
                <wp:effectExtent l="19050" t="0" r="0" b="0"/>
                <wp:wrapNone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1C6874" w:rsidRPr="00C63A0F" w:rsidRDefault="001C6874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1C6874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1C6874" w:rsidRDefault="001C6874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875F83">
            <w:rPr>
              <w:rFonts w:ascii="Times New Roman" w:hAnsi="Times New Roman" w:cs="Times New Roman"/>
              <w:sz w:val="24"/>
              <w:szCs w:val="24"/>
            </w:rPr>
            <w:t>034-03</w:t>
          </w:r>
        </w:p>
      </w:tc>
      <w:tc>
        <w:tcPr>
          <w:tcW w:w="207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1C6874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1C6874" w:rsidRDefault="001C6874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1C6874" w:rsidRPr="00DC4A87" w:rsidRDefault="00875F8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034-02</w:t>
          </w:r>
        </w:p>
      </w:tc>
      <w:tc>
        <w:tcPr>
          <w:tcW w:w="207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1C6874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1C6874" w:rsidRDefault="001C6874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1C6874" w:rsidRPr="00DC4A87" w:rsidRDefault="001C6874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1C6874" w:rsidRPr="00DC4A87" w:rsidRDefault="00A401EC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C6874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778B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1C6874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C6874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778B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1C6874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1C6874" w:rsidRPr="00C63A0F" w:rsidRDefault="001C6874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1C6874" w:rsidRPr="00C63A0F" w:rsidRDefault="001C6874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E69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OPERATION AND CALIBRATION OF </w:t>
          </w:r>
          <w:r w:rsidRPr="009E692A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</w:rPr>
            <w:t>UV</w:t>
          </w:r>
          <w:r w:rsidRPr="009E692A">
            <w:rPr>
              <w:rFonts w:ascii="Times New Roman" w:hAnsi="Times New Roman" w:cs="Times New Roman"/>
              <w:b/>
              <w:noProof/>
              <w:sz w:val="24"/>
              <w:szCs w:val="24"/>
            </w:rPr>
            <w:t>-</w:t>
          </w:r>
          <w:r w:rsidRPr="009E692A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</w:rPr>
            <w:t>VISIBLE SPECTROPHOTOMETER</w:t>
          </w:r>
        </w:p>
      </w:tc>
    </w:tr>
  </w:tbl>
  <w:p w:rsidR="001C6874" w:rsidRPr="00687331" w:rsidRDefault="001C6874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01D5"/>
    <w:multiLevelType w:val="hybridMultilevel"/>
    <w:tmpl w:val="12583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8247B"/>
    <w:multiLevelType w:val="hybridMultilevel"/>
    <w:tmpl w:val="6A5A7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4">
    <w:nsid w:val="160D2CD4"/>
    <w:multiLevelType w:val="hybridMultilevel"/>
    <w:tmpl w:val="1E586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2B20A5"/>
    <w:multiLevelType w:val="multilevel"/>
    <w:tmpl w:val="7250F03C"/>
    <w:lvl w:ilvl="0">
      <w:start w:val="2"/>
      <w:numFmt w:val="decimal"/>
      <w:lvlText w:val="%1.0"/>
      <w:lvlJc w:val="left"/>
      <w:pPr>
        <w:ind w:left="99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59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90" w:hanging="1800"/>
      </w:pPr>
      <w:rPr>
        <w:rFonts w:hint="default"/>
        <w:b/>
      </w:rPr>
    </w:lvl>
  </w:abstractNum>
  <w:abstractNum w:abstractNumId="6">
    <w:nsid w:val="17E147C9"/>
    <w:multiLevelType w:val="hybridMultilevel"/>
    <w:tmpl w:val="660EC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338C0"/>
    <w:multiLevelType w:val="hybridMultilevel"/>
    <w:tmpl w:val="9F284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07868"/>
    <w:multiLevelType w:val="hybridMultilevel"/>
    <w:tmpl w:val="61E4E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F3D1B"/>
    <w:multiLevelType w:val="multilevel"/>
    <w:tmpl w:val="8B84D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545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4275" w:hanging="72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700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9735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  <w:b/>
        <w:u w:val="none"/>
      </w:rPr>
    </w:lvl>
  </w:abstractNum>
  <w:abstractNum w:abstractNumId="16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6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0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1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BF6E9A"/>
    <w:multiLevelType w:val="hybridMultilevel"/>
    <w:tmpl w:val="9F3A0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6"/>
  </w:num>
  <w:num w:numId="4">
    <w:abstractNumId w:val="2"/>
  </w:num>
  <w:num w:numId="5">
    <w:abstractNumId w:val="34"/>
  </w:num>
  <w:num w:numId="6">
    <w:abstractNumId w:val="23"/>
  </w:num>
  <w:num w:numId="7">
    <w:abstractNumId w:val="28"/>
  </w:num>
  <w:num w:numId="8">
    <w:abstractNumId w:val="18"/>
  </w:num>
  <w:num w:numId="9">
    <w:abstractNumId w:val="31"/>
  </w:num>
  <w:num w:numId="10">
    <w:abstractNumId w:val="7"/>
  </w:num>
  <w:num w:numId="11">
    <w:abstractNumId w:val="32"/>
  </w:num>
  <w:num w:numId="12">
    <w:abstractNumId w:val="13"/>
  </w:num>
  <w:num w:numId="13">
    <w:abstractNumId w:val="19"/>
  </w:num>
  <w:num w:numId="14">
    <w:abstractNumId w:val="14"/>
  </w:num>
  <w:num w:numId="15">
    <w:abstractNumId w:val="30"/>
  </w:num>
  <w:num w:numId="16">
    <w:abstractNumId w:val="20"/>
  </w:num>
  <w:num w:numId="17">
    <w:abstractNumId w:val="27"/>
  </w:num>
  <w:num w:numId="18">
    <w:abstractNumId w:val="24"/>
  </w:num>
  <w:num w:numId="19">
    <w:abstractNumId w:val="9"/>
  </w:num>
  <w:num w:numId="20">
    <w:abstractNumId w:val="22"/>
  </w:num>
  <w:num w:numId="21">
    <w:abstractNumId w:val="17"/>
  </w:num>
  <w:num w:numId="22">
    <w:abstractNumId w:val="11"/>
  </w:num>
  <w:num w:numId="23">
    <w:abstractNumId w:val="3"/>
  </w:num>
  <w:num w:numId="24">
    <w:abstractNumId w:val="8"/>
  </w:num>
  <w:num w:numId="25">
    <w:abstractNumId w:val="21"/>
  </w:num>
  <w:num w:numId="26">
    <w:abstractNumId w:val="33"/>
  </w:num>
  <w:num w:numId="27">
    <w:abstractNumId w:val="12"/>
  </w:num>
  <w:num w:numId="28">
    <w:abstractNumId w:val="6"/>
  </w:num>
  <w:num w:numId="29">
    <w:abstractNumId w:val="1"/>
  </w:num>
  <w:num w:numId="30">
    <w:abstractNumId w:val="0"/>
  </w:num>
  <w:num w:numId="31">
    <w:abstractNumId w:val="4"/>
  </w:num>
  <w:num w:numId="32">
    <w:abstractNumId w:val="35"/>
  </w:num>
  <w:num w:numId="33">
    <w:abstractNumId w:val="10"/>
  </w:num>
  <w:num w:numId="34">
    <w:abstractNumId w:val="15"/>
  </w:num>
  <w:num w:numId="35">
    <w:abstractNumId w:val="5"/>
  </w:num>
  <w:num w:numId="36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060FB"/>
    <w:rsid w:val="000106C1"/>
    <w:rsid w:val="000150DD"/>
    <w:rsid w:val="00030FF4"/>
    <w:rsid w:val="00035EBB"/>
    <w:rsid w:val="00040920"/>
    <w:rsid w:val="0004378C"/>
    <w:rsid w:val="000605DE"/>
    <w:rsid w:val="000658BD"/>
    <w:rsid w:val="00065B31"/>
    <w:rsid w:val="000837E4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3716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2C6F"/>
    <w:rsid w:val="0019469F"/>
    <w:rsid w:val="001A00DE"/>
    <w:rsid w:val="001A5164"/>
    <w:rsid w:val="001A68F3"/>
    <w:rsid w:val="001B09A3"/>
    <w:rsid w:val="001B250C"/>
    <w:rsid w:val="001B7317"/>
    <w:rsid w:val="001C4BF0"/>
    <w:rsid w:val="001C4C1C"/>
    <w:rsid w:val="001C6874"/>
    <w:rsid w:val="001D0C01"/>
    <w:rsid w:val="001D2C57"/>
    <w:rsid w:val="001D5BCE"/>
    <w:rsid w:val="001D6B97"/>
    <w:rsid w:val="001D7556"/>
    <w:rsid w:val="001E147D"/>
    <w:rsid w:val="001E36FD"/>
    <w:rsid w:val="001E40A2"/>
    <w:rsid w:val="001E6D6A"/>
    <w:rsid w:val="0020483F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458AF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380A"/>
    <w:rsid w:val="0029598B"/>
    <w:rsid w:val="00295AD7"/>
    <w:rsid w:val="002A53F6"/>
    <w:rsid w:val="002A72CD"/>
    <w:rsid w:val="002A7B6E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06189"/>
    <w:rsid w:val="003105F4"/>
    <w:rsid w:val="00314E5F"/>
    <w:rsid w:val="003178E8"/>
    <w:rsid w:val="00322B53"/>
    <w:rsid w:val="00324A3C"/>
    <w:rsid w:val="00326092"/>
    <w:rsid w:val="00326318"/>
    <w:rsid w:val="003319DB"/>
    <w:rsid w:val="00336092"/>
    <w:rsid w:val="003376D7"/>
    <w:rsid w:val="00337DEB"/>
    <w:rsid w:val="00337E9F"/>
    <w:rsid w:val="00343C60"/>
    <w:rsid w:val="00350B27"/>
    <w:rsid w:val="00352994"/>
    <w:rsid w:val="00353F99"/>
    <w:rsid w:val="00354E9D"/>
    <w:rsid w:val="0036325F"/>
    <w:rsid w:val="00367D0F"/>
    <w:rsid w:val="0037450A"/>
    <w:rsid w:val="00375AE6"/>
    <w:rsid w:val="0037682E"/>
    <w:rsid w:val="003870FD"/>
    <w:rsid w:val="00395988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6371F"/>
    <w:rsid w:val="00476F33"/>
    <w:rsid w:val="00483151"/>
    <w:rsid w:val="004871BF"/>
    <w:rsid w:val="00487279"/>
    <w:rsid w:val="00487E88"/>
    <w:rsid w:val="004948D2"/>
    <w:rsid w:val="004A0754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120CD"/>
    <w:rsid w:val="00520DFE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104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4816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14EB"/>
    <w:rsid w:val="007D4A2D"/>
    <w:rsid w:val="007D5DEB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75F83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2C53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0E6E"/>
    <w:rsid w:val="009B51BA"/>
    <w:rsid w:val="009B74BF"/>
    <w:rsid w:val="009C734D"/>
    <w:rsid w:val="009D02F0"/>
    <w:rsid w:val="009D5CC3"/>
    <w:rsid w:val="009E1596"/>
    <w:rsid w:val="009E4062"/>
    <w:rsid w:val="009E5DA7"/>
    <w:rsid w:val="009E692A"/>
    <w:rsid w:val="009F4B80"/>
    <w:rsid w:val="00A046B8"/>
    <w:rsid w:val="00A12421"/>
    <w:rsid w:val="00A13536"/>
    <w:rsid w:val="00A23595"/>
    <w:rsid w:val="00A238C1"/>
    <w:rsid w:val="00A308F2"/>
    <w:rsid w:val="00A3130A"/>
    <w:rsid w:val="00A334EC"/>
    <w:rsid w:val="00A401EC"/>
    <w:rsid w:val="00A41242"/>
    <w:rsid w:val="00A42115"/>
    <w:rsid w:val="00A51BA8"/>
    <w:rsid w:val="00A51E39"/>
    <w:rsid w:val="00A57162"/>
    <w:rsid w:val="00A575AF"/>
    <w:rsid w:val="00A57816"/>
    <w:rsid w:val="00A630B9"/>
    <w:rsid w:val="00A63651"/>
    <w:rsid w:val="00A7016C"/>
    <w:rsid w:val="00A70AC5"/>
    <w:rsid w:val="00A76225"/>
    <w:rsid w:val="00A769AB"/>
    <w:rsid w:val="00A778B1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369BA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C2BBB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4712"/>
    <w:rsid w:val="00D357B8"/>
    <w:rsid w:val="00D403E1"/>
    <w:rsid w:val="00D50FDE"/>
    <w:rsid w:val="00D529CE"/>
    <w:rsid w:val="00D5372B"/>
    <w:rsid w:val="00D60615"/>
    <w:rsid w:val="00D70636"/>
    <w:rsid w:val="00D8018A"/>
    <w:rsid w:val="00D84C26"/>
    <w:rsid w:val="00D9333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57AD"/>
    <w:rsid w:val="00E37FAD"/>
    <w:rsid w:val="00E53ACD"/>
    <w:rsid w:val="00E5771F"/>
    <w:rsid w:val="00E62DA9"/>
    <w:rsid w:val="00E63212"/>
    <w:rsid w:val="00E632B6"/>
    <w:rsid w:val="00E708DF"/>
    <w:rsid w:val="00E76A08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F5BBF-CB24-4E5F-A67B-C4CAFE4D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53</cp:revision>
  <cp:lastPrinted>2016-12-31T09:28:00Z</cp:lastPrinted>
  <dcterms:created xsi:type="dcterms:W3CDTF">2016-10-28T10:22:00Z</dcterms:created>
  <dcterms:modified xsi:type="dcterms:W3CDTF">2017-10-13T09:19:00Z</dcterms:modified>
</cp:coreProperties>
</file>