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lineRule="auto"/>
        <w:jc w:val="center"/>
      </w:pPr>
      <w:r>
        <w:rPr>
          <w:rFonts w:ascii="Times New Roman" w:cs="Times New Roman" w:eastAsia="Times New Roman" w:hAnsi="Times New Roman"/>
          <w:b/>
          <w:bCs/>
          <w:sz w:val="28"/>
          <w:szCs w:val="28"/>
        </w:rPr>
        <w:t xml:space="preserve">СОРБЦИОННОЕ ИЗВЛЕЧЕНИЕ ЛИТИЯ ИЗ ВЫСОКОМИНЕРАЛИЗОВАННЫХ ПОПУТНЫХ ВОД НЕФТЕГАЗОВЫХ МЕСТОРОЖДЕНИЙ: ВЛИЯНИЕ СОСТАВА РАССОЛА НА ТЕХНОЛОГИЧЕСКУЮ И ЭКОНОМИЧЕСКУЮ РЕАЛИЗУЕМОСТЬ</w:t>
      </w:r>
    </w:p>
    <w:p>
      <w:pPr>
        <w:spacing w:after="60" w:before="0" w:line="276" w:lineRule="auto"/>
        <w:jc w:val="center"/>
      </w:pPr>
      <w:r>
        <w:rPr>
          <w:rFonts w:ascii="Times New Roman" w:cs="Times New Roman" w:eastAsia="Times New Roman" w:hAnsi="Times New Roman"/>
          <w:b/>
          <w:bCs/>
          <w:sz w:val="28"/>
          <w:szCs w:val="28"/>
        </w:rPr>
        <w:t xml:space="preserve">М. А. Мкртичян</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b/>
          <w:bCs/>
          <w:sz w:val="28"/>
          <w:szCs w:val="28"/>
        </w:rPr>
        <w:t xml:space="preserve">, Н. А. Мкртичян</w:t>
      </w:r>
      <w:r>
        <w:rPr>
          <w:rFonts w:ascii="Times New Roman" w:cs="Times New Roman" w:eastAsia="Times New Roman" w:hAnsi="Times New Roman"/>
          <w:sz w:val="28"/>
          <w:szCs w:val="28"/>
          <w:vertAlign w:val="superscript"/>
        </w:rPr>
        <w:t xml:space="preserve">1</w:t>
      </w:r>
    </w:p>
    <w:p>
      <w:pPr>
        <w:spacing w:after="0" w:before="0" w:line="276" w:lineRule="auto"/>
        <w:jc w:val="center"/>
      </w:pPr>
      <w:r>
        <w:rPr>
          <w:rFonts w:ascii="Times New Roman" w:cs="Times New Roman" w:eastAsia="Times New Roman" w:hAnsi="Times New Roman"/>
          <w:i/>
          <w:iCs/>
          <w:sz w:val="28"/>
          <w:szCs w:val="28"/>
          <w:vertAlign w:val="superscript"/>
        </w:rPr>
        <w:t xml:space="preserve">1</w:t>
      </w:r>
      <w:r>
        <w:rPr>
          <w:rFonts w:ascii="Times New Roman" w:cs="Times New Roman" w:eastAsia="Times New Roman" w:hAnsi="Times New Roman"/>
          <w:i/>
          <w:iCs/>
          <w:sz w:val="28"/>
          <w:szCs w:val="28"/>
        </w:rPr>
        <w:t xml:space="preserve">Санкт-Петербургский государственный университет, Санкт-Петербург, Россия</w:t>
      </w:r>
    </w:p>
    <w:p>
      <w:pPr>
        <w:spacing w:after="0" w:before="0" w:line="276" w:lineRule="auto"/>
        <w:jc w:val="center"/>
      </w:pPr>
      <w:r>
        <w:rPr>
          <w:rFonts w:ascii="Times New Roman" w:cs="Times New Roman" w:eastAsia="Times New Roman" w:hAnsi="Times New Roman"/>
          <w:i/>
          <w:iCs/>
          <w:sz w:val="28"/>
          <w:szCs w:val="28"/>
          <w:vertAlign w:val="superscript"/>
        </w:rPr>
        <w:t xml:space="preserve">2</w:t>
      </w:r>
      <w:r>
        <w:rPr>
          <w:rFonts w:ascii="Times New Roman" w:cs="Times New Roman" w:eastAsia="Times New Roman" w:hAnsi="Times New Roman"/>
          <w:i/>
          <w:iCs/>
          <w:sz w:val="28"/>
          <w:szCs w:val="28"/>
        </w:rPr>
        <w:t xml:space="preserve">Санкт-Петербургский горный университет императрицы Екатерины II, Санкт-Петербург, Россия</w:t>
      </w:r>
    </w:p>
    <w:p>
      <w:pPr>
        <w:spacing w:after="200" w:before="0" w:line="276" w:lineRule="auto"/>
        <w:jc w:val="center"/>
      </w:pPr>
      <w:r>
        <w:rPr>
          <w:rFonts w:ascii="Times New Roman" w:cs="Times New Roman" w:eastAsia="Times New Roman" w:hAnsi="Times New Roman"/>
          <w:sz w:val="28"/>
          <w:szCs w:val="28"/>
        </w:rPr>
        <w:t xml:space="preserve">st129824@student.spbu.ru, marimkr21@gmail.com</w:t>
      </w:r>
    </w:p>
    <w:p>
      <w:pPr>
        <w:spacing w:after="0" w:before="0" w:line="276" w:lineRule="auto"/>
        <w:ind w:firstLine="709"/>
        <w:jc w:val="both"/>
      </w:pPr>
      <w:r>
        <w:rPr>
          <w:rFonts w:ascii="Times New Roman" w:cs="Times New Roman" w:eastAsia="Times New Roman" w:hAnsi="Times New Roman"/>
          <w:b/>
          <w:bCs/>
          <w:sz w:val="28"/>
          <w:szCs w:val="28"/>
        </w:rPr>
        <w:t xml:space="preserve">Аннотация.</w:t>
      </w:r>
      <w:r>
        <w:rPr>
          <w:rFonts w:ascii="Times New Roman" w:cs="Times New Roman" w:eastAsia="Times New Roman" w:hAnsi="Times New Roman"/>
          <w:sz w:val="28"/>
          <w:szCs w:val="28"/>
        </w:rPr>
        <w:t xml:space="preserve"> Попутно добываемые воды нефтегазовых месторождений рассматриваются как нетрадиционный источник лития, однако их пригодность для промышленного извлечения определяется не только содержанием лития. В работе оценено, при каких сочетаниях концентрации лития, минерализации, отношений Mg/Li и Ca/Li, годового объема воды и ресурса сорбента схема «предочистка — сорбция — десорбция — осаждение Li</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технологически устойчива и экономически оправдана; основное внимание уделено хлоридно-кальциевым рассолам Восточной Сибири. По публикациям 2019–2026 гг. систематизированы данные о составе попутных вод, эффективности предочистки и поведении марганцевых, титановых и литий-алюминиевых сорбентов в реальных водах; составлен материальный баланс схемы для трех сценариев и рассчитана пороговая концентрация лития в зависимости от объема воды и цены карбоната лития. Показано, что для рассолов Знаменского и Ковыктинского месторождений (Li около 0,4 г/л, Ca 121–154 г/л, Mg/Li около 72) стоимость реагентов для полного умягчения в 4,7–5,5 раза превышает стоимость содержащегося лития. Поэтому предочистка должна ограничиваться удалением нефти, взвесей, Fe, Mn и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 а селективное отделение лития от кальция и магния — выполняться литий-алюминиевым сорбентом типа ДГАЛ-Cl с последующей очисткой элюата. Сквозное извлечение лития по схеме составляет 0,44–0,78, основные потери приходятся на стадии сорбции и получения продукта. При цене 9 тыс. долл./т (среднее за 2025 г.) пороговая концентрация составляет около 270 мг/л при объеме воды 1,5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и 170 мг/л при 10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при 20 тыс. долл./т (уровень сентября 2026 г.) — 97 и 60 мг/л; наибольшее влияние на нее оказывают цена продукта, сквозное извлечение и капитальные затраты. Подтоварные воды действующих установок подготовки нефти (30–70 мг/л) нерентабельны даже при ценах 2026 г., тогда как глубинные рассолы (170–410 мг/л) при отборе в несколько миллионов кубометров в год обеспечивают удельные затраты около 4,7 тыс. долл./т. Главным источником неопределенности оценки остается ресурс сорбента. Предложены критерии выбора объектов для опытно-промышленной проверки.</w:t>
      </w:r>
    </w:p>
    <w:p>
      <w:pPr>
        <w:spacing w:after="120" w:before="0" w:line="276" w:lineRule="auto"/>
        <w:ind w:firstLine="709"/>
        <w:jc w:val="both"/>
      </w:pPr>
      <w:r>
        <w:rPr>
          <w:rFonts w:ascii="Times New Roman" w:cs="Times New Roman" w:eastAsia="Times New Roman" w:hAnsi="Times New Roman"/>
          <w:b/>
          <w:bCs/>
          <w:sz w:val="28"/>
          <w:szCs w:val="28"/>
        </w:rPr>
        <w:t xml:space="preserve">Ключевые слова:</w:t>
      </w:r>
      <w:r>
        <w:rPr>
          <w:rFonts w:ascii="Times New Roman" w:cs="Times New Roman" w:eastAsia="Times New Roman" w:hAnsi="Times New Roman"/>
          <w:sz w:val="28"/>
          <w:szCs w:val="28"/>
        </w:rPr>
        <w:t xml:space="preserve"> литий, попутно добываемые воды, нефтепромысловые рассолы, прямое извлечение лития, сорбция, ДГАЛ-Cl, предварительная очистка, карбонат лития, технико-экономическая оценка, Восточная Сибирь.</w:t>
      </w:r>
    </w:p>
    <w:p>
      <w:pPr>
        <w:keepNext/>
        <w:spacing w:after="40" w:before="120" w:line="276" w:lineRule="auto"/>
        <w:ind w:firstLine="709"/>
        <w:jc w:val="left"/>
      </w:pPr>
      <w:r>
        <w:rPr>
          <w:rFonts w:ascii="Times New Roman" w:cs="Times New Roman" w:eastAsia="Times New Roman" w:hAnsi="Times New Roman"/>
          <w:b/>
          <w:bCs/>
          <w:sz w:val="28"/>
          <w:szCs w:val="28"/>
        </w:rPr>
        <w:t xml:space="preserve">1. Введение</w:t>
      </w:r>
    </w:p>
    <w:p>
      <w:pPr>
        <w:spacing w:after="0" w:before="0" w:line="276" w:lineRule="auto"/>
        <w:ind w:firstLine="709"/>
        <w:jc w:val="both"/>
      </w:pPr>
      <w:r>
        <w:rPr>
          <w:rFonts w:ascii="Times New Roman" w:cs="Times New Roman" w:eastAsia="Times New Roman" w:hAnsi="Times New Roman"/>
          <w:sz w:val="28"/>
          <w:szCs w:val="28"/>
        </w:rPr>
        <w:t xml:space="preserve">Литий остается одним из ключевых материалов энергетического перехода: в 2025 г. на производство аккумуляторов пришлось 88 % мирового потребления лития, а мировая добыча выросла на 31 % — до 290 тыс. т</w:t>
      </w:r>
      <w:r>
        <w:rPr>
          <w:rStyle w:val="FootnoteReference"/>
        </w:rPr>
        <w:footnoteReference w:id="1"/>
      </w:r>
      <w:r>
        <w:rPr>
          <w:rFonts w:ascii="Times New Roman" w:cs="Times New Roman" w:eastAsia="Times New Roman" w:hAnsi="Times New Roman"/>
          <w:sz w:val="28"/>
          <w:szCs w:val="28"/>
        </w:rPr>
        <w:t xml:space="preserve">. При этом рынок прошел резкий ценовой цикл: среднегодовая цена карбоната лития аккумуляторного качества снизилась с 63,7 тыс. долл./т в 2022 г. до 9,0 тыс. долл./т в 2025 г., а в сентябре 2026 г. котировки восстановились до 19,8 тыс. долл./т</w:t>
      </w:r>
      <w:r>
        <w:rPr>
          <w:rStyle w:val="FootnoteReference"/>
        </w:rPr>
        <w:footnoteReference w:id="2"/>
      </w:r>
      <w:r>
        <w:rPr>
          <w:rFonts w:ascii="Times New Roman" w:cs="Times New Roman" w:eastAsia="Times New Roman" w:hAnsi="Times New Roman"/>
          <w:sz w:val="28"/>
          <w:szCs w:val="28"/>
        </w:rPr>
        <w:t xml:space="preserve">. Поэтому реализуемость новых источников необходимо проверять во всем диапазоне цен последних лет, а не при пиковых значениях.</w:t>
      </w:r>
    </w:p>
    <w:p>
      <w:pPr>
        <w:spacing w:after="0" w:before="0" w:line="276" w:lineRule="auto"/>
        <w:ind w:firstLine="709"/>
        <w:jc w:val="both"/>
      </w:pPr>
      <w:r>
        <w:rPr>
          <w:rFonts w:ascii="Times New Roman" w:cs="Times New Roman" w:eastAsia="Times New Roman" w:hAnsi="Times New Roman"/>
          <w:sz w:val="28"/>
          <w:szCs w:val="28"/>
        </w:rPr>
        <w:t xml:space="preserve">Для России вопрос имеет самостоятельное значение: импорт карбоната лития оценивается в объеме до 9 тыс. т в год, а основные поставщики — Чили и Аргентина — прекратили поставки (Бандалетова и др., 2021). Около 72 % ресурсов лития в подземных рассолах страны приходится на Лено-Тунгусскую нефтегазоносную провинцию, а разработки по его извлечению доведены до промышленного внедрения (Болдырев и др., 2025).</w:t>
      </w:r>
    </w:p>
    <w:p>
      <w:pPr>
        <w:spacing w:after="0" w:before="0" w:line="276" w:lineRule="auto"/>
        <w:ind w:firstLine="709"/>
        <w:jc w:val="both"/>
      </w:pPr>
      <w:r>
        <w:rPr>
          <w:rFonts w:ascii="Times New Roman" w:cs="Times New Roman" w:eastAsia="Times New Roman" w:hAnsi="Times New Roman"/>
          <w:sz w:val="28"/>
          <w:szCs w:val="28"/>
        </w:rPr>
        <w:t xml:space="preserve">Попутно добываемые воды уже собираются, подготавливаются и закачиваются в пласт в системе поддержания пластового давления (ППД), что снижает капитальные затраты на извлечение лития. Однако концентрация лития в них (28–505 мг/л) на порядок ниже, чем в рассолах саларов, поэтому применимы лишь методы прямого извлечения лития (DLE), из которых промышленного уровня достигла только сорбция на алюминиевых сорбентах (Knapik et al., 2023; Farahbakhsh et al., 2024).</w:t>
      </w:r>
    </w:p>
    <w:p>
      <w:pPr>
        <w:spacing w:after="0" w:before="0" w:line="276" w:lineRule="auto"/>
        <w:ind w:firstLine="709"/>
        <w:jc w:val="both"/>
      </w:pPr>
      <w:r>
        <w:rPr>
          <w:rFonts w:ascii="Times New Roman" w:cs="Times New Roman" w:eastAsia="Times New Roman" w:hAnsi="Times New Roman"/>
          <w:sz w:val="28"/>
          <w:szCs w:val="28"/>
        </w:rPr>
        <w:t xml:space="preserve">Цель работы — определить, при каких диапазонах концентрации лития, минерализации, отношений Mg/Li и Ca/Li, расхода попутной воды и ресурса сорбента схема «предочистка — сорбция — десорбция — осаждение Li</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может быть технологически устойчивой и экономически оправданной для высокоминерализованных попутных вод Восточной Сибири.</w:t>
      </w:r>
    </w:p>
    <w:p>
      <w:pPr>
        <w:keepNext/>
        <w:spacing w:after="40" w:before="120" w:line="276" w:lineRule="auto"/>
        <w:ind w:firstLine="709"/>
        <w:jc w:val="left"/>
      </w:pPr>
      <w:r>
        <w:rPr>
          <w:rFonts w:ascii="Times New Roman" w:cs="Times New Roman" w:eastAsia="Times New Roman" w:hAnsi="Times New Roman"/>
          <w:b/>
          <w:bCs/>
          <w:sz w:val="28"/>
          <w:szCs w:val="28"/>
        </w:rPr>
        <w:t xml:space="preserve">2. Материалы и методы</w:t>
      </w:r>
    </w:p>
    <w:p>
      <w:pPr>
        <w:spacing w:after="0" w:before="0" w:line="276" w:lineRule="auto"/>
        <w:ind w:firstLine="709"/>
        <w:jc w:val="both"/>
      </w:pPr>
      <w:r>
        <w:rPr>
          <w:rFonts w:ascii="Times New Roman" w:cs="Times New Roman" w:eastAsia="Times New Roman" w:hAnsi="Times New Roman"/>
          <w:sz w:val="28"/>
          <w:szCs w:val="28"/>
        </w:rPr>
        <w:t xml:space="preserve">Работа выполнена в три этапа. На первом проведен обзор публикаций 2019–2026 гг. с экспериментами на реальных попутных водах и технико-экономическими оценками. На втором для сопоставимых образцов вод рассчитаны отношения Mg/Li, Ca/Li и стехиометрическая потребность в реагентах для полного умягчения — осаждения Ca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содой и Mg</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гидроксидом натрия; стоимость реагентов (сода — 150, NaOH — 450 долл./т) сопоставлялась со стоимостью лития в 1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воды. На третьем составлен материальный баланс схемы для трех сценариев и определена пороговая концентрация лития из условия безубыточности:</w:t>
      </w:r>
    </w:p>
    <w:p>
      <w:pPr>
        <w:tabs>
          <w:tab w:val="center" w:pos="4819"/>
          <w:tab w:val="right" w:pos="9638"/>
        </w:tabs>
        <w:spacing w:after="80" w:before="80" w:line="276" w:lineRule="auto"/>
      </w:pPr>
      <w:r>
        <w:rPr>
          <w:rFonts w:ascii="Times New Roman" w:cs="Times New Roman" w:eastAsia="Times New Roman" w:hAnsi="Times New Roman"/>
          <w:sz w:val="28"/>
          <w:szCs w:val="28"/>
        </w:rPr>
        <w:t xml:space="preserve">	</w:t>
      </w:r>
      <m:oMath>
        <m:sSubSup>
          <m:sSubSupPr/>
          <m:e>
            <m:r>
              <m:t>C</m:t>
            </m:r>
          </m:e>
          <m:sub>
            <m:r>
              <m:t>Li</m:t>
            </m:r>
          </m:sub>
          <m:sup>
            <m:r>
              <m:t>∗</m:t>
            </m:r>
          </m:sup>
        </m:sSubSup>
        <m:r>
          <m:t xml:space="preserve"> = </m:t>
        </m:r>
        <m:f>
          <m:num>
            <m:sSub>
              <m:sSubPr/>
              <m:e>
                <m:r>
                  <m:t>c</m:t>
                </m:r>
              </m:e>
              <m:sub>
                <m:r>
                  <m:t>V</m:t>
                </m:r>
              </m:sub>
            </m:sSub>
            <m:r>
              <m:t xml:space="preserve"> + CRF·</m:t>
            </m:r>
            <m:f>
              <m:num>
                <m:r>
                  <m:t>K(Q)</m:t>
                </m:r>
              </m:num>
              <m:den>
                <m:r>
                  <m:t>Q</m:t>
                </m:r>
              </m:den>
            </m:f>
          </m:num>
          <m:den>
            <m:r>
              <m:t xml:space="preserve">k·η·(P − </m:t>
            </m:r>
            <m:sSub>
              <m:sSubPr/>
              <m:e>
                <m:r>
                  <m:t>c</m:t>
                </m:r>
              </m:e>
              <m:sub>
                <m:r>
                  <m:t>R</m:t>
                </m:r>
              </m:sub>
            </m:sSub>
            <m:r>
              <m:t xml:space="preserve"> − </m:t>
            </m:r>
            <m:sSub>
              <m:sSubPr/>
              <m:e>
                <m:r>
                  <m:t>c</m:t>
                </m:r>
              </m:e>
              <m:sub>
                <m:r>
                  <m:t>S</m:t>
                </m:r>
              </m:sub>
            </m:sSub>
            <m:r>
              <m:t>)</m:t>
            </m:r>
          </m:den>
        </m:f>
        <m:r>
          <m:t xml:space="preserve">,   </m:t>
        </m:r>
        <m:sSub>
          <m:sSubPr/>
          <m:e>
            <m:r>
              <m:t>c</m:t>
            </m:r>
          </m:e>
          <m:sub>
            <m:r>
              <m:t>S</m:t>
            </m:r>
          </m:sub>
        </m:sSub>
        <m:r>
          <m:t xml:space="preserve"> = </m:t>
        </m:r>
        <m:f>
          <m:num>
            <m:r>
              <m:t>S·</m:t>
            </m:r>
            <m:sSub>
              <m:sSubPr/>
              <m:e>
                <m:r>
                  <m:t>m</m:t>
                </m:r>
              </m:e>
              <m:sub>
                <m:r>
                  <m:t>Li,load</m:t>
                </m:r>
              </m:sub>
            </m:sSub>
          </m:num>
          <m:den>
            <m:r>
              <m:t>q·N</m:t>
            </m:r>
          </m:den>
        </m:f>
      </m:oMath>
      <w:r>
        <w:rPr>
          <w:rFonts w:ascii="Times New Roman" w:cs="Times New Roman" w:eastAsia="Times New Roman" w:hAnsi="Times New Roman"/>
          <w:sz w:val="28"/>
          <w:szCs w:val="28"/>
        </w:rPr>
        <w:t xml:space="preserve">	(1)</w:t>
      </w:r>
    </w:p>
    <w:p>
      <w:pPr>
        <w:spacing w:after="0" w:before="0" w:line="276" w:lineRule="auto"/>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i/>
          <w:iCs/>
          <w:sz w:val="28"/>
          <w:szCs w:val="28"/>
        </w:rPr>
        <w:t xml:space="preserve">c</w:t>
      </w:r>
      <w:r>
        <w:rPr>
          <w:rFonts w:ascii="Times New Roman" w:cs="Times New Roman" w:eastAsia="Times New Roman" w:hAnsi="Times New Roman"/>
          <w:sz w:val="28"/>
          <w:szCs w:val="28"/>
          <w:vertAlign w:val="subscript"/>
        </w:rPr>
        <w:t xml:space="preserve">V</w:t>
      </w:r>
      <w:r>
        <w:rPr>
          <w:rFonts w:ascii="Times New Roman" w:cs="Times New Roman" w:eastAsia="Times New Roman" w:hAnsi="Times New Roman"/>
          <w:sz w:val="28"/>
          <w:szCs w:val="28"/>
        </w:rPr>
        <w:t xml:space="preserve"> — затраты на 1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воды (1,5 долл.); CRF — коэффициент возврата капитала (0,147);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Q</w:t>
      </w:r>
      <w:r>
        <w:rPr>
          <w:rFonts w:ascii="Times New Roman" w:cs="Times New Roman" w:eastAsia="Times New Roman" w:hAnsi="Times New Roman"/>
          <w:sz w:val="28"/>
          <w:szCs w:val="28"/>
        </w:rPr>
        <w:t xml:space="preserve">) — капитальные затраты (40 млн долл. при 1,5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показатель масштаба 0,6);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rPr>
        <w:t xml:space="preserve"> — выход Li</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на 1 г Li; η — сквозное извлечение (произведение выходов по стадиям); </w:t>
      </w:r>
      <w:r>
        <w:rPr>
          <w:rFonts w:ascii="Times New Roman" w:cs="Times New Roman" w:eastAsia="Times New Roman" w:hAnsi="Times New Roman"/>
          <w:i/>
          <w:iCs/>
          <w:sz w:val="28"/>
          <w:szCs w:val="28"/>
        </w:rPr>
        <w:t xml:space="preserve">P</w:t>
      </w:r>
      <w:r>
        <w:rPr>
          <w:rFonts w:ascii="Times New Roman" w:cs="Times New Roman" w:eastAsia="Times New Roman" w:hAnsi="Times New Roman"/>
          <w:sz w:val="28"/>
          <w:szCs w:val="28"/>
        </w:rPr>
        <w:t xml:space="preserve"> — цена Li</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c</w:t>
      </w:r>
      <w:r>
        <w:rPr>
          <w:rFonts w:ascii="Times New Roman" w:cs="Times New Roman" w:eastAsia="Times New Roman" w:hAnsi="Times New Roman"/>
          <w:sz w:val="28"/>
          <w:szCs w:val="28"/>
          <w:vertAlign w:val="subscript"/>
        </w:rPr>
        <w:t xml:space="preserve">R</w:t>
      </w:r>
      <w:r>
        <w:rPr>
          <w:rFonts w:ascii="Times New Roman" w:cs="Times New Roman" w:eastAsia="Times New Roman" w:hAnsi="Times New Roman"/>
          <w:sz w:val="28"/>
          <w:szCs w:val="28"/>
        </w:rPr>
        <w:t xml:space="preserve"> — затраты на реагенты и сушку (1000 долл./т); </w:t>
      </w:r>
      <w:r>
        <w:rPr>
          <w:rFonts w:ascii="Times New Roman" w:cs="Times New Roman" w:eastAsia="Times New Roman" w:hAnsi="Times New Roman"/>
          <w:i/>
          <w:iCs/>
          <w:sz w:val="28"/>
          <w:szCs w:val="28"/>
        </w:rPr>
        <w:t xml:space="preserve">S</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q</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N</w:t>
      </w:r>
      <w:r>
        <w:rPr>
          <w:rFonts w:ascii="Times New Roman" w:cs="Times New Roman" w:eastAsia="Times New Roman" w:hAnsi="Times New Roman"/>
          <w:sz w:val="28"/>
          <w:szCs w:val="28"/>
        </w:rPr>
        <w:t xml:space="preserve"> — цена (20 долл./кг), рабочая емкость (5 мг/г) и число циклов сорбента; </w:t>
      </w:r>
      <w:r>
        <w:rPr>
          <w:rFonts w:ascii="Times New Roman" w:cs="Times New Roman" w:eastAsia="Times New Roman" w:hAnsi="Times New Roman"/>
          <w:i/>
          <w:iCs/>
          <w:sz w:val="28"/>
          <w:szCs w:val="28"/>
        </w:rPr>
        <w:t xml:space="preserve">m</w:t>
      </w:r>
      <w:r>
        <w:rPr>
          <w:rFonts w:ascii="Times New Roman" w:cs="Times New Roman" w:eastAsia="Times New Roman" w:hAnsi="Times New Roman"/>
          <w:sz w:val="28"/>
          <w:szCs w:val="28"/>
          <w:vertAlign w:val="subscript"/>
        </w:rPr>
        <w:t xml:space="preserve">Li,load</w:t>
      </w:r>
      <w:r>
        <w:rPr>
          <w:rFonts w:ascii="Times New Roman" w:cs="Times New Roman" w:eastAsia="Times New Roman" w:hAnsi="Times New Roman"/>
          <w:sz w:val="28"/>
          <w:szCs w:val="28"/>
        </w:rPr>
        <w:t xml:space="preserve"> — масса лития, сорбируемого на 1 т продукта. Стоимостные параметры — расчетные допущения; чувствительность оценивалась изменением параметров на ±30 %.</w:t>
      </w:r>
    </w:p>
    <w:p>
      <w:pPr>
        <w:keepNext/>
        <w:spacing w:after="40" w:before="120" w:line="276" w:lineRule="auto"/>
        <w:ind w:firstLine="709"/>
        <w:jc w:val="left"/>
      </w:pPr>
      <w:r>
        <w:rPr>
          <w:rFonts w:ascii="Times New Roman" w:cs="Times New Roman" w:eastAsia="Times New Roman" w:hAnsi="Times New Roman"/>
          <w:b/>
          <w:bCs/>
          <w:sz w:val="28"/>
          <w:szCs w:val="28"/>
        </w:rPr>
        <w:t xml:space="preserve">3. Результаты и обсуждение</w:t>
      </w:r>
    </w:p>
    <w:p>
      <w:pPr>
        <w:keepNext/>
        <w:spacing w:after="40" w:before="120" w:line="276" w:lineRule="auto"/>
        <w:ind w:firstLine="709"/>
        <w:jc w:val="left"/>
      </w:pPr>
      <w:r>
        <w:rPr>
          <w:rFonts w:ascii="Times New Roman" w:cs="Times New Roman" w:eastAsia="Times New Roman" w:hAnsi="Times New Roman"/>
          <w:b/>
          <w:bCs/>
          <w:sz w:val="28"/>
          <w:szCs w:val="28"/>
        </w:rPr>
        <w:t xml:space="preserve">3.1. Состав попутных вод и реагентная нагрузка</w:t>
      </w:r>
    </w:p>
    <w:p>
      <w:pPr>
        <w:spacing w:after="0" w:before="0" w:line="276" w:lineRule="auto"/>
        <w:ind w:firstLine="709"/>
        <w:jc w:val="both"/>
      </w:pPr>
      <w:r>
        <w:rPr>
          <w:rFonts w:ascii="Times New Roman" w:cs="Times New Roman" w:eastAsia="Times New Roman" w:hAnsi="Times New Roman"/>
          <w:sz w:val="28"/>
          <w:szCs w:val="28"/>
        </w:rPr>
        <w:t xml:space="preserve">Содержание лития в попутных водах не коррелирует с минерализацией, поэтому его необходимо определять отдельно (Knapik et al., 2023). В Восточной Сибири подтоварные воды установок подготовки нефти (УПН) содержат 30–105 мг/л лития (на Ярактинской УПН — 60 мг/л, т. е. лишь около 26 т лития в год), глубинные рассолы — 300–410 мг/л (Михеева, Егоров, 2022; Коцупало, 2001; Первойкин, Зелинская, 2022). Составы рассолов приведены в табл. 1.</w:t>
      </w:r>
    </w:p>
    <w:p>
      <w:pPr>
        <w:keepNext/>
        <w:spacing w:after="60" w:before="120" w:line="276" w:lineRule="auto"/>
        <w:jc w:val="left"/>
      </w:pPr>
      <w:r>
        <w:rPr>
          <w:rFonts w:ascii="Times New Roman" w:cs="Times New Roman" w:eastAsia="Times New Roman" w:hAnsi="Times New Roman"/>
          <w:sz w:val="28"/>
          <w:szCs w:val="28"/>
        </w:rPr>
        <w:t xml:space="preserve">Таблица 1. Состав попутных вод и реагентная нагрузка полного умягчения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800"/>
        <w:gridCol w:w="850"/>
        <w:gridCol w:w="800"/>
        <w:gridCol w:w="800"/>
        <w:gridCol w:w="1300"/>
        <w:gridCol w:w="1200"/>
        <w:gridCol w:w="1450"/>
      </w:tblGrid>
      <w:tr>
        <w:trPr>
          <w:tblHeader/>
        </w:trPr>
        <w:tc>
          <w:tcPr>
            <w:tcW w:type="dxa" w:w="24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sz w:val="24"/>
                <w:szCs w:val="24"/>
              </w:rPr>
              <w:t xml:space="preserve">Объект</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sz w:val="24"/>
                <w:szCs w:val="24"/>
              </w:rPr>
              <w:t xml:space="preserve">Li, мг/л</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sz w:val="24"/>
                <w:szCs w:val="24"/>
              </w:rPr>
              <w:t xml:space="preserve">Ca, г/л</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sz w:val="24"/>
                <w:szCs w:val="24"/>
              </w:rPr>
              <w:t xml:space="preserve">Mg/Li</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sz w:val="24"/>
                <w:szCs w:val="24"/>
              </w:rPr>
              <w:t xml:space="preserve">Ca/Li</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sz w:val="24"/>
                <w:szCs w:val="24"/>
              </w:rPr>
              <w:t xml:space="preserve">Реагенты, долл./м</w:t>
            </w:r>
            <w:r>
              <w:rPr>
                <w:rFonts w:ascii="Times New Roman" w:cs="Times New Roman" w:eastAsia="Times New Roman" w:hAnsi="Times New Roman"/>
                <w:b/>
                <w:bCs/>
                <w:sz w:val="24"/>
                <w:szCs w:val="24"/>
                <w:vertAlign w:val="superscript"/>
              </w:rPr>
              <w:t xml:space="preserve">3</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sz w:val="24"/>
                <w:szCs w:val="24"/>
              </w:rPr>
              <w:t xml:space="preserve">Литий, долл./м</w:t>
            </w:r>
            <w:r>
              <w:rPr>
                <w:rFonts w:ascii="Times New Roman" w:cs="Times New Roman" w:eastAsia="Times New Roman" w:hAnsi="Times New Roman"/>
                <w:b/>
                <w:bCs/>
                <w:sz w:val="24"/>
                <w:szCs w:val="24"/>
                <w:vertAlign w:val="superscript"/>
              </w:rPr>
              <w:t xml:space="preserve">3</w:t>
            </w:r>
          </w:p>
        </w:tc>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sz w:val="24"/>
                <w:szCs w:val="24"/>
              </w:rPr>
              <w:t xml:space="preserve">Отношение</w:t>
            </w:r>
          </w:p>
        </w:tc>
      </w:tr>
      <w:tr>
        <w:trPr>
          <w:cantSplit/>
        </w:trPr>
        <w:tc>
          <w:tcPr>
            <w:tcW w:type="dxa" w:w="24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sz w:val="24"/>
                <w:szCs w:val="24"/>
              </w:rPr>
              <w:t xml:space="preserve">Знаменское, Иркутская обл.</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409</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121,2</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72,2</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296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91,8</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19,6</w:t>
            </w:r>
          </w:p>
        </w:tc>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4,68</w:t>
            </w:r>
          </w:p>
        </w:tc>
      </w:tr>
      <w:tr>
        <w:trPr>
          <w:cantSplit/>
        </w:trPr>
        <w:tc>
          <w:tcPr>
            <w:tcW w:type="dxa" w:w="24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sz w:val="24"/>
                <w:szCs w:val="24"/>
              </w:rPr>
              <w:t xml:space="preserve">Ковыктинское, Иркутская обл.</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392</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153,9</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72,3</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393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103,0</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18,8</w:t>
            </w:r>
          </w:p>
        </w:tc>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5,49</w:t>
            </w:r>
          </w:p>
        </w:tc>
      </w:tr>
      <w:tr>
        <w:trPr>
          <w:cantSplit/>
        </w:trPr>
        <w:tc>
          <w:tcPr>
            <w:tcW w:type="dxa" w:w="24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sz w:val="24"/>
                <w:szCs w:val="24"/>
              </w:rPr>
              <w:t xml:space="preserve">Smackover, США</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445</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45,7</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6,7</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103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22,5</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21,3</w:t>
            </w:r>
          </w:p>
        </w:tc>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1,06</w:t>
            </w:r>
          </w:p>
        </w:tc>
      </w:tr>
      <w:tr>
        <w:trPr>
          <w:cantSplit/>
        </w:trPr>
        <w:tc>
          <w:tcPr>
            <w:tcW w:type="dxa" w:w="24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sz w:val="24"/>
                <w:szCs w:val="24"/>
              </w:rPr>
              <w:t xml:space="preserve">Marcellus, США</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127</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19,0</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13,1</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149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6,1</w:t>
            </w:r>
          </w:p>
        </w:tc>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1,64</w:t>
            </w:r>
          </w:p>
        </w:tc>
      </w:tr>
      <w:tr>
        <w:trPr>
          <w:cantSplit/>
        </w:trPr>
        <w:tc>
          <w:tcPr>
            <w:tcW w:type="dxa" w:w="24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sz w:val="24"/>
                <w:szCs w:val="24"/>
              </w:rPr>
              <w:t xml:space="preserve">Вэйюань, Китай</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158</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3,1</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2,0</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20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1,7</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7,6</w:t>
            </w:r>
          </w:p>
        </w:tc>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sz w:val="24"/>
                <w:szCs w:val="24"/>
              </w:rPr>
              <w:t xml:space="preserve">0,22</w:t>
            </w:r>
          </w:p>
        </w:tc>
      </w:tr>
    </w:tbl>
    <w:p>
      <w:pPr>
        <w:spacing w:after="120" w:before="40" w:line="240" w:lineRule="auto"/>
        <w:jc w:val="both"/>
      </w:pPr>
      <w:r>
        <w:rPr>
          <w:rFonts w:ascii="Times New Roman" w:cs="Times New Roman" w:eastAsia="Times New Roman" w:hAnsi="Times New Roman"/>
          <w:sz w:val="24"/>
          <w:szCs w:val="24"/>
        </w:rPr>
        <w:t xml:space="preserve">Примечание: реагенты — Na</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CO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и NaOH по стехиометрии; литий — стоимость Li</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CO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из 1 м</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при 100 % извлечения и 9 тыс. долл./т. Составлено авторами по данным указанных источников.</w:t>
      </w:r>
    </w:p>
    <w:p>
      <w:pPr>
        <w:spacing w:after="0" w:before="0" w:line="276" w:lineRule="auto"/>
        <w:ind w:firstLine="709"/>
        <w:jc w:val="both"/>
      </w:pPr>
      <w:r>
        <w:rPr>
          <w:rFonts w:ascii="Times New Roman" w:cs="Times New Roman" w:eastAsia="Times New Roman" w:hAnsi="Times New Roman"/>
          <w:sz w:val="28"/>
          <w:szCs w:val="28"/>
        </w:rPr>
        <w:t xml:space="preserve">Для полного осаждения кальция и магния из 1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знаменского рассола требуется около 320 кг Na</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и 97 кг NaOH (около 92 долл./м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тогда как стоимость содержащегося в нем лития даже при 100 % извлечения составляет около 20 долл./м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Для вод Na–Cl-типа (Вэйюань) полное умягчение, напротив, допустимо: реагенты составляют 22 % стоимости лития. Следовательно, для хлоридно-кальциевых рассолов Восточной Сибири предочистка должна ограничиваться удалением нефти, взвесей, Fe, Mn и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 а удаление Ca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и Mg</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следует переносить на стадию очистки элюата, объем которого на порядок меньше объема исходной воды.</w:t>
      </w:r>
    </w:p>
    <w:p>
      <w:pPr>
        <w:keepNext/>
        <w:spacing w:after="40" w:before="120" w:line="276" w:lineRule="auto"/>
        <w:ind w:firstLine="709"/>
        <w:jc w:val="left"/>
      </w:pPr>
      <w:r>
        <w:rPr>
          <w:rFonts w:ascii="Times New Roman" w:cs="Times New Roman" w:eastAsia="Times New Roman" w:hAnsi="Times New Roman"/>
          <w:b/>
          <w:bCs/>
          <w:sz w:val="28"/>
          <w:szCs w:val="28"/>
        </w:rPr>
        <w:t xml:space="preserve">3.2. Выбор сорбента</w:t>
      </w:r>
    </w:p>
    <w:p>
      <w:pPr>
        <w:spacing w:after="0" w:before="0" w:line="276" w:lineRule="auto"/>
        <w:ind w:firstLine="709"/>
        <w:jc w:val="both"/>
      </w:pPr>
      <w:r>
        <w:rPr>
          <w:rFonts w:ascii="Times New Roman" w:cs="Times New Roman" w:eastAsia="Times New Roman" w:hAnsi="Times New Roman"/>
          <w:sz w:val="28"/>
          <w:szCs w:val="28"/>
        </w:rPr>
        <w:t xml:space="preserve">Марганцевые (HMO) и титановые (HTO) ионные сита обладают емкостью 15–50 мг/г, но требуют кислотной десорбции, чувствительны к органике и теряют активную фазу; их готовность остается пилотной (Farahbakhsh et al., 2024; Pan et al., 2025). Литий-алюминиевый сорбент ДГАЛ-Cl имеет меньшую емкость (около 7 мг/г), но десорбируется пресной водой, мало деградирует и применяется в промышленности. В опытной колонне на рассоле с 349 г/л MgCl</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его динамическая емкость составила 3,6 г/кг при извлечении 80 %, а отношение суммы щелочноземельных металлов к литию снизилось с 93 до 1,3–2,3; из очищенного элюата получен Li</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чистотой 99,6 % (Менжерес и др., 2004). Таким образом, основная функция сорбционной стадии для сибирских рассолов — не концентрирование, а отделение лития от кальция и магния в 40–70 раз за одну операцию.</w:t>
      </w:r>
    </w:p>
    <w:p>
      <w:pPr>
        <w:keepNext/>
        <w:spacing w:after="40" w:before="120" w:line="276" w:lineRule="auto"/>
        <w:ind w:firstLine="709"/>
        <w:jc w:val="left"/>
      </w:pPr>
      <w:r>
        <w:rPr>
          <w:rFonts w:ascii="Times New Roman" w:cs="Times New Roman" w:eastAsia="Times New Roman" w:hAnsi="Times New Roman"/>
          <w:b/>
          <w:bCs/>
          <w:sz w:val="28"/>
          <w:szCs w:val="28"/>
        </w:rPr>
        <w:t xml:space="preserve">3.3. Материальный баланс и граничные условия</w:t>
      </w:r>
    </w:p>
    <w:p>
      <w:pPr>
        <w:spacing w:after="0" w:before="0" w:line="276" w:lineRule="auto"/>
        <w:ind w:firstLine="709"/>
        <w:jc w:val="both"/>
      </w:pPr>
      <w:r>
        <w:rPr>
          <w:rFonts w:ascii="Times New Roman" w:cs="Times New Roman" w:eastAsia="Times New Roman" w:hAnsi="Times New Roman"/>
          <w:sz w:val="28"/>
          <w:szCs w:val="28"/>
        </w:rPr>
        <w:t xml:space="preserve">Материальный баланс составлен для трех сценариев: неблагоприятного (подтоварная вода Ярактинской УПН: 60 мг/л, 0,44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базового (200 мг/л, 1,5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и благоприятного (глубинный рассол: 380 мг/л, 3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Сквозное извлечение составило соответственно 0,44; 0,61 и 0,78, выпуск Li</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62, 980 и 4720 т/год, удельные затраты — 62,1; 11,2 и 4,7 тыс. долл./т. Основные потери лития приходятся на сорбцию (19 % поступления в базовом сценарии) и получение продукта (11 %). Затраты благоприятного сценария согласуются с отраслевой оценкой 4–5 тыс. долл./т.</w:t>
      </w:r>
    </w:p>
    <w:p>
      <w:pPr>
        <w:spacing w:after="0" w:before="0" w:line="276" w:lineRule="auto"/>
        <w:ind w:firstLine="709"/>
        <w:jc w:val="both"/>
      </w:pPr>
      <w:r>
        <w:rPr>
          <w:rFonts w:ascii="Times New Roman" w:cs="Times New Roman" w:eastAsia="Times New Roman" w:hAnsi="Times New Roman"/>
          <w:sz w:val="28"/>
          <w:szCs w:val="28"/>
        </w:rPr>
        <w:t xml:space="preserve">Пороговая концентрация лития по формуле (1) при цене 9 тыс. долл./т составляет 270 мг/л при объеме воды 1,5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и снижается до 166 мг/л при 10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при 20 тыс. долл./т — 97 и 60 мг/л (рисунок, </w:t>
      </w:r>
      <w:r>
        <w:rPr>
          <w:rFonts w:ascii="Times New Roman" w:cs="Times New Roman" w:eastAsia="Times New Roman" w:hAnsi="Times New Roman"/>
          <w:i/>
          <w:iCs/>
          <w:sz w:val="28"/>
          <w:szCs w:val="28"/>
        </w:rPr>
        <w:t xml:space="preserve">а</w:t>
      </w:r>
      <w:r>
        <w:rPr>
          <w:rFonts w:ascii="Times New Roman" w:cs="Times New Roman" w:eastAsia="Times New Roman" w:hAnsi="Times New Roman"/>
          <w:sz w:val="28"/>
          <w:szCs w:val="28"/>
        </w:rPr>
        <w:t xml:space="preserve">). Граничное значение, опубликованное для Оренбургского НГКМ (200 мг/л при 1,5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в модели соответствует цене около 11 тыс. долл./т, т. е. модель воспроизводит порядок опубликованной оценки (Бандалетова и др., 2021). Подтоварная вода Ярактинской УПН лежит ниже всех кривых, а рассолы месторождения им. Кокорина (6,2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реализуемы уже при цене 2025 г.</w:t>
      </w:r>
    </w:p>
    <w:p>
      <w:pPr>
        <w:keepNext/>
        <w:spacing w:after="60" w:before="120" w:line="276" w:lineRule="auto"/>
        <w:jc w:val="center"/>
      </w:pPr>
      <w:r>
        <w:drawing>
          <wp:inline distT="0" distB="0" distL="0" distR="0">
            <wp:extent cx="5334000" cy="2981325"/>
            <wp:effectExtent t="0" r="0" b="0" l="0"/>
            <wp:docPr id="1" name="fig" descr="Пороговая концентрация лития и анализ чувствительности"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81325"/>
                    </a:xfrm>
                    <a:prstGeom prst="rect">
                      <a:avLst/>
                    </a:prstGeom>
                  </pic:spPr>
                </pic:pic>
              </a:graphicData>
            </a:graphic>
          </wp:inline>
        </w:drawing>
      </w:r>
    </w:p>
    <w:p>
      <w:pPr>
        <w:spacing w:after="120" w:before="0" w:line="276" w:lineRule="auto"/>
        <w:jc w:val="center"/>
      </w:pPr>
      <w:r>
        <w:rPr>
          <w:rFonts w:ascii="Times New Roman" w:cs="Times New Roman" w:eastAsia="Times New Roman" w:hAnsi="Times New Roman"/>
          <w:sz w:val="28"/>
          <w:szCs w:val="28"/>
        </w:rPr>
        <w:t xml:space="preserve">Рисунок. Пороговая концентрация лития в зависимости от годового объема попутной воды при трех уровнях цены Li</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а</w:t>
      </w:r>
      <w:r>
        <w:rPr>
          <w:rFonts w:ascii="Times New Roman" w:cs="Times New Roman" w:eastAsia="Times New Roman" w:hAnsi="Times New Roman"/>
          <w:sz w:val="28"/>
          <w:szCs w:val="28"/>
        </w:rPr>
        <w:t xml:space="preserve">) и ее чувствительность к параметрам базового сценария при цене 9 тыс. долл./т (</w:t>
      </w:r>
      <w:r>
        <w:rPr>
          <w:rFonts w:ascii="Times New Roman" w:cs="Times New Roman" w:eastAsia="Times New Roman" w:hAnsi="Times New Roman"/>
          <w:i/>
          <w:iCs/>
          <w:sz w:val="28"/>
          <w:szCs w:val="28"/>
        </w:rPr>
        <w:t xml:space="preserve">б</w:t>
      </w:r>
      <w:r>
        <w:rPr>
          <w:rFonts w:ascii="Times New Roman" w:cs="Times New Roman" w:eastAsia="Times New Roman" w:hAnsi="Times New Roman"/>
          <w:sz w:val="28"/>
          <w:szCs w:val="28"/>
        </w:rPr>
        <w:t xml:space="preserve">)</w:t>
      </w:r>
    </w:p>
    <w:p>
      <w:pPr>
        <w:spacing w:after="0" w:before="0" w:line="276" w:lineRule="auto"/>
        <w:ind w:firstLine="709"/>
        <w:jc w:val="both"/>
      </w:pPr>
      <w:r>
        <w:rPr>
          <w:rFonts w:ascii="Times New Roman" w:cs="Times New Roman" w:eastAsia="Times New Roman" w:hAnsi="Times New Roman"/>
          <w:sz w:val="28"/>
          <w:szCs w:val="28"/>
        </w:rPr>
        <w:t xml:space="preserve">Порог наиболее чувствителен к цене Li</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(188–482 мг/л при изменении на ±30 %), сквозному извлечению (208–386 мг/л) и капитальным затратам (211–329 мг/л) (рисунок, </w:t>
      </w:r>
      <w:r>
        <w:rPr>
          <w:rFonts w:ascii="Times New Roman" w:cs="Times New Roman" w:eastAsia="Times New Roman" w:hAnsi="Times New Roman"/>
          <w:i/>
          <w:iCs/>
          <w:sz w:val="28"/>
          <w:szCs w:val="28"/>
        </w:rPr>
        <w:t xml:space="preserve">б</w:t>
      </w:r>
      <w:r>
        <w:rPr>
          <w:rFonts w:ascii="Times New Roman" w:cs="Times New Roman" w:eastAsia="Times New Roman" w:hAnsi="Times New Roman"/>
          <w:sz w:val="28"/>
          <w:szCs w:val="28"/>
        </w:rPr>
        <w:t xml:space="preserve">). При снижении ресурса сорбента с 500 до 200 циклов затраты на его замену растут с 1,9 до 4,7 тыс. долл./т, а опубликованные серии испытаний на попутных водах не превышают 20 циклов (Pan et al., 2025). Расход пресной воды на десорбцию (210–320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/т Li</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требует замкнутого контура с возвратом пермеата обратного осмоса.</w:t>
      </w:r>
    </w:p>
    <w:p>
      <w:pPr>
        <w:keepNext/>
        <w:spacing w:after="40" w:before="120" w:line="276" w:lineRule="auto"/>
        <w:ind w:firstLine="709"/>
        <w:jc w:val="left"/>
      </w:pPr>
      <w:r>
        <w:rPr>
          <w:rFonts w:ascii="Times New Roman" w:cs="Times New Roman" w:eastAsia="Times New Roman" w:hAnsi="Times New Roman"/>
          <w:b/>
          <w:bCs/>
          <w:sz w:val="28"/>
          <w:szCs w:val="28"/>
        </w:rPr>
        <w:t xml:space="preserve">4. Заключение</w:t>
      </w:r>
    </w:p>
    <w:p>
      <w:pPr>
        <w:spacing w:after="0" w:before="0" w:line="276" w:lineRule="auto"/>
        <w:ind w:firstLine="709"/>
        <w:jc w:val="both"/>
      </w:pPr>
      <w:r>
        <w:rPr>
          <w:rFonts w:ascii="Times New Roman" w:cs="Times New Roman" w:eastAsia="Times New Roman" w:hAnsi="Times New Roman"/>
          <w:sz w:val="28"/>
          <w:szCs w:val="28"/>
        </w:rPr>
        <w:t xml:space="preserve">1. Для Восточной Сибири необходимо разделять подтоварные воды УПН (30–70 мг/л Li) и глубинные рассолы (170–410 мг/л). Для хлоридно-кальциевых рассолов полное умягчение исключено: реагенты в 4,7–5,5 раза дороже лития. Рациональна схема с ограниченной предочисткой, сорбентом ДГАЛ-Cl и очисткой малого объема элюата.</w:t>
      </w:r>
    </w:p>
    <w:p>
      <w:pPr>
        <w:spacing w:after="0" w:before="0" w:line="276" w:lineRule="auto"/>
        <w:ind w:firstLine="709"/>
        <w:jc w:val="both"/>
      </w:pPr>
      <w:r>
        <w:rPr>
          <w:rFonts w:ascii="Times New Roman" w:cs="Times New Roman" w:eastAsia="Times New Roman" w:hAnsi="Times New Roman"/>
          <w:sz w:val="28"/>
          <w:szCs w:val="28"/>
        </w:rPr>
        <w:t xml:space="preserve">2. Пороговая концентрация лития при цене 9 тыс. долл./т составляет около 270 мг/л при 1,5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и 166 мг/л при 10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при 20 тыс. долл./т — 97 и 60 мг/л; определяющими являются цена продукта, сквозное извлечение и капитальные затраты.</w:t>
      </w:r>
    </w:p>
    <w:p>
      <w:pPr>
        <w:spacing w:after="0" w:before="0" w:line="276" w:lineRule="auto"/>
        <w:ind w:firstLine="709"/>
        <w:jc w:val="both"/>
      </w:pPr>
      <w:r>
        <w:rPr>
          <w:rFonts w:ascii="Times New Roman" w:cs="Times New Roman" w:eastAsia="Times New Roman" w:hAnsi="Times New Roman"/>
          <w:sz w:val="28"/>
          <w:szCs w:val="28"/>
        </w:rPr>
        <w:t xml:space="preserve">3. Для опытно-промышленной проверки приоритетны глубинные рассолы с концентрацией лития не ниже 200 мг/л при отборе не менее 1,5–3 млн м</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/год и действующей системе ППД; необходимы многоцикловые колонные испытания сорбента на реальной воде.</w:t>
      </w:r>
    </w:p>
    <w:p>
      <w:pPr>
        <w:keepNext/>
        <w:spacing w:after="80" w:before="200" w:line="276" w:lineRule="auto"/>
        <w:jc w:val="center"/>
      </w:pPr>
      <w:r>
        <w:rPr>
          <w:rFonts w:ascii="Times New Roman" w:cs="Times New Roman" w:eastAsia="Times New Roman" w:hAnsi="Times New Roman"/>
          <w:b/>
          <w:bCs/>
          <w:sz w:val="28"/>
          <w:szCs w:val="28"/>
        </w:rPr>
        <w:t xml:space="preserve">Литература</w:t>
      </w:r>
    </w:p>
    <w:p>
      <w:pPr>
        <w:spacing w:after="0" w:before="0" w:line="276" w:lineRule="auto"/>
        <w:ind w:left="400" w:hanging="400"/>
        <w:jc w:val="both"/>
      </w:pPr>
      <w:r>
        <w:rPr>
          <w:rFonts w:ascii="Times New Roman" w:cs="Times New Roman" w:eastAsia="Times New Roman" w:hAnsi="Times New Roman"/>
          <w:sz w:val="28"/>
          <w:szCs w:val="28"/>
        </w:rPr>
        <w:t xml:space="preserve">1. Бандалетова А. А., Гаврилов А. Ю., Галин Е. В. Извлечение лития из попутных вод на примере Оренбургского НГКМ // PROНЕФТЬ. Профессионально о нефти. 2021. Т. 6, № 1. С. 29–32.</w:t>
      </w:r>
    </w:p>
    <w:p>
      <w:pPr>
        <w:spacing w:after="0" w:before="0" w:line="276" w:lineRule="auto"/>
        <w:ind w:left="400" w:hanging="400"/>
        <w:jc w:val="both"/>
      </w:pPr>
      <w:r>
        <w:rPr>
          <w:rFonts w:ascii="Times New Roman" w:cs="Times New Roman" w:eastAsia="Times New Roman" w:hAnsi="Times New Roman"/>
          <w:sz w:val="28"/>
          <w:szCs w:val="28"/>
        </w:rPr>
        <w:t xml:space="preserve">2. Болдырев В. В., Буйнов Н. М., Вахромеев А. Г. и др. Литиеносные поликомпонентные глубинные рассолы гидроминеральной провинции Сибирской платформы … // Вестник РАН. 2025. № 9. С. 16–26.</w:t>
      </w:r>
    </w:p>
    <w:p>
      <w:pPr>
        <w:spacing w:after="0" w:before="0" w:line="276" w:lineRule="auto"/>
        <w:ind w:left="400" w:hanging="400"/>
        <w:jc w:val="both"/>
      </w:pPr>
      <w:r>
        <w:rPr>
          <w:rFonts w:ascii="Times New Roman" w:cs="Times New Roman" w:eastAsia="Times New Roman" w:hAnsi="Times New Roman"/>
          <w:sz w:val="28"/>
          <w:szCs w:val="28"/>
        </w:rPr>
        <w:t xml:space="preserve">3. Коцупало Н. П. Перспективы получения соединений лития из природных хлоридных рассолов // Химия в интересах устойчивого развития. 2001. Т. 9. С. 243–253.</w:t>
      </w:r>
    </w:p>
    <w:p>
      <w:pPr>
        <w:spacing w:after="0" w:before="0" w:line="276" w:lineRule="auto"/>
        <w:ind w:left="400" w:hanging="400"/>
        <w:jc w:val="both"/>
      </w:pPr>
      <w:r>
        <w:rPr>
          <w:rFonts w:ascii="Times New Roman" w:cs="Times New Roman" w:eastAsia="Times New Roman" w:hAnsi="Times New Roman"/>
          <w:sz w:val="28"/>
          <w:szCs w:val="28"/>
        </w:rPr>
        <w:t xml:space="preserve">4. Менжерес Л. Т., Рябцев А. Д., Мамылова Е. В. Селективный сорбент для извлечения лития из хлоридных высокоминерализованных рассолов // Известия ТПУ. 2004. Т. 307, № 7. С. 76–80.</w:t>
      </w:r>
    </w:p>
    <w:p>
      <w:pPr>
        <w:spacing w:after="0" w:before="0" w:line="276" w:lineRule="auto"/>
        <w:ind w:left="400" w:hanging="400"/>
        <w:jc w:val="both"/>
      </w:pPr>
      <w:r>
        <w:rPr>
          <w:rFonts w:ascii="Times New Roman" w:cs="Times New Roman" w:eastAsia="Times New Roman" w:hAnsi="Times New Roman"/>
          <w:sz w:val="28"/>
          <w:szCs w:val="28"/>
        </w:rPr>
        <w:t xml:space="preserve">5. Михеева Е. Д., Егоров Я. А. К вопросу о содержаниях лития и попутных компонентов в подземных водах перспективных площадей территории России // Недропользование XXI век. 2022. № 2. С. 29–35.</w:t>
      </w:r>
    </w:p>
    <w:p>
      <w:pPr>
        <w:spacing w:after="0" w:before="0" w:line="276" w:lineRule="auto"/>
        <w:ind w:left="400" w:hanging="400"/>
        <w:jc w:val="both"/>
      </w:pPr>
      <w:r>
        <w:rPr>
          <w:rFonts w:ascii="Times New Roman" w:cs="Times New Roman" w:eastAsia="Times New Roman" w:hAnsi="Times New Roman"/>
          <w:sz w:val="28"/>
          <w:szCs w:val="28"/>
        </w:rPr>
        <w:t xml:space="preserve">6. Первойкин М. В., Зелинская Е. В. Извлечение металлов из высококонцентрированных сточных вод Ковыктинского месторождения // Вестник КузГТУ. 2022. № 4. С. 59–66.</w:t>
      </w:r>
    </w:p>
    <w:p>
      <w:pPr>
        <w:spacing w:after="0" w:before="0" w:line="276" w:lineRule="auto"/>
        <w:ind w:left="400" w:hanging="400"/>
        <w:jc w:val="both"/>
      </w:pPr>
      <w:r>
        <w:rPr>
          <w:rFonts w:ascii="Times New Roman" w:cs="Times New Roman" w:eastAsia="Times New Roman" w:hAnsi="Times New Roman"/>
          <w:sz w:val="28"/>
          <w:szCs w:val="28"/>
        </w:rPr>
        <w:t xml:space="preserve">7. Farahbakhsh J. et al. Direct lithium extraction: A new paradigm for lithium production and resource utilization // Desalination. 2024. Vol. 575. Art. 117249.</w:t>
      </w:r>
    </w:p>
    <w:p>
      <w:pPr>
        <w:spacing w:after="0" w:before="0" w:line="276" w:lineRule="auto"/>
        <w:ind w:left="400" w:hanging="400"/>
        <w:jc w:val="both"/>
      </w:pPr>
      <w:r>
        <w:rPr>
          <w:rFonts w:ascii="Times New Roman" w:cs="Times New Roman" w:eastAsia="Times New Roman" w:hAnsi="Times New Roman"/>
          <w:sz w:val="28"/>
          <w:szCs w:val="28"/>
        </w:rPr>
        <w:t xml:space="preserve">8. Knapik E., Rotko G., Marszałek M. Recovery of lithium from oilfield brines — current achievements and future perspectives: a mini review // Energies. 2023. Vol. 16, no. 18. Art. 6628.</w:t>
      </w:r>
    </w:p>
    <w:p>
      <w:pPr>
        <w:spacing w:after="0" w:before="0" w:line="276" w:lineRule="auto"/>
        <w:ind w:left="400" w:hanging="400"/>
        <w:jc w:val="both"/>
      </w:pPr>
      <w:r>
        <w:rPr>
          <w:rFonts w:ascii="Times New Roman" w:cs="Times New Roman" w:eastAsia="Times New Roman" w:hAnsi="Times New Roman"/>
          <w:sz w:val="28"/>
          <w:szCs w:val="28"/>
        </w:rPr>
        <w:t xml:space="preserve">9. Pan Y., Zhan W., Zhang W. Sustainable lithium extraction from produced water: Integrating membrane pretreatment and next-generation adsorbents // J. Environ. Manage. 2025. Vol. 382. Art. 125343.</w:t>
      </w:r>
    </w:p>
    <w:p>
      <w:pPr>
        <w:keepNext/>
        <w:spacing w:after="120" w:before="280" w:line="276" w:lineRule="auto"/>
        <w:jc w:val="center"/>
      </w:pPr>
      <w:r>
        <w:rPr>
          <w:rFonts w:ascii="Times New Roman" w:cs="Times New Roman" w:eastAsia="Times New Roman" w:hAnsi="Times New Roman"/>
          <w:b/>
          <w:bCs/>
          <w:sz w:val="28"/>
          <w:szCs w:val="28"/>
        </w:rPr>
        <w:t xml:space="preserve">SORPTION RECOVERY OF LITHIUM FROM HIGHLY MINERALIZED PRODUCED WATERS OF OIL AND GAS FIELDS: THE EFFECT OF BRINE COMPOSITION ON TECHNOLOGICAL AND ECONOMIC FEASIBILITY</w:t>
      </w:r>
    </w:p>
    <w:p>
      <w:pPr>
        <w:keepNext/>
        <w:spacing w:after="60" w:before="0" w:line="276" w:lineRule="auto"/>
        <w:jc w:val="center"/>
      </w:pPr>
      <w:r>
        <w:rPr>
          <w:rFonts w:ascii="Times New Roman" w:cs="Times New Roman" w:eastAsia="Times New Roman" w:hAnsi="Times New Roman"/>
          <w:b/>
          <w:bCs/>
          <w:sz w:val="28"/>
          <w:szCs w:val="28"/>
        </w:rPr>
        <w:t xml:space="preserve">M. A. Mkrtichian</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b/>
          <w:bCs/>
          <w:sz w:val="28"/>
          <w:szCs w:val="28"/>
        </w:rPr>
        <w:t xml:space="preserve">, N. A. Mkrtichian</w:t>
      </w:r>
      <w:r>
        <w:rPr>
          <w:rFonts w:ascii="Times New Roman" w:cs="Times New Roman" w:eastAsia="Times New Roman" w:hAnsi="Times New Roman"/>
          <w:sz w:val="28"/>
          <w:szCs w:val="28"/>
          <w:vertAlign w:val="superscript"/>
        </w:rPr>
        <w:t xml:space="preserve">1</w:t>
      </w:r>
    </w:p>
    <w:p>
      <w:pPr>
        <w:keepNext/>
        <w:spacing w:after="0" w:before="0" w:line="276" w:lineRule="auto"/>
        <w:jc w:val="center"/>
      </w:pPr>
      <w:r>
        <w:rPr>
          <w:rFonts w:ascii="Times New Roman" w:cs="Times New Roman" w:eastAsia="Times New Roman" w:hAnsi="Times New Roman"/>
          <w:i/>
          <w:iCs/>
          <w:sz w:val="28"/>
          <w:szCs w:val="28"/>
          <w:vertAlign w:val="superscript"/>
        </w:rPr>
        <w:t xml:space="preserve">1</w:t>
      </w:r>
      <w:r>
        <w:rPr>
          <w:rFonts w:ascii="Times New Roman" w:cs="Times New Roman" w:eastAsia="Times New Roman" w:hAnsi="Times New Roman"/>
          <w:i/>
          <w:iCs/>
          <w:sz w:val="28"/>
          <w:szCs w:val="28"/>
        </w:rPr>
        <w:t xml:space="preserve">Saint Petersburg State University, Saint Petersburg, Russia</w:t>
      </w:r>
    </w:p>
    <w:p>
      <w:pPr>
        <w:keepNext/>
        <w:spacing w:after="120" w:before="0" w:line="276" w:lineRule="auto"/>
        <w:jc w:val="center"/>
      </w:pPr>
      <w:r>
        <w:rPr>
          <w:rFonts w:ascii="Times New Roman" w:cs="Times New Roman" w:eastAsia="Times New Roman" w:hAnsi="Times New Roman"/>
          <w:i/>
          <w:iCs/>
          <w:sz w:val="28"/>
          <w:szCs w:val="28"/>
          <w:vertAlign w:val="superscript"/>
        </w:rPr>
        <w:t xml:space="preserve">2</w:t>
      </w:r>
      <w:r>
        <w:rPr>
          <w:rFonts w:ascii="Times New Roman" w:cs="Times New Roman" w:eastAsia="Times New Roman" w:hAnsi="Times New Roman"/>
          <w:i/>
          <w:iCs/>
          <w:sz w:val="28"/>
          <w:szCs w:val="28"/>
        </w:rPr>
        <w:t xml:space="preserve">Empress Catherine II Saint Petersburg Mining University, Saint Petersburg, Russia</w:t>
      </w:r>
    </w:p>
    <w:p>
      <w:pPr>
        <w:spacing w:after="0" w:before="0" w:line="276" w:lineRule="auto"/>
        <w:ind w:firstLine="709"/>
        <w:jc w:val="both"/>
      </w:pPr>
      <w:r>
        <w:rPr>
          <w:rFonts w:ascii="Times New Roman" w:cs="Times New Roman" w:eastAsia="Times New Roman" w:hAnsi="Times New Roman"/>
          <w:b/>
          <w:bCs/>
          <w:sz w:val="28"/>
          <w:szCs w:val="28"/>
        </w:rPr>
        <w:t xml:space="preserve">Abstract.</w:t>
      </w:r>
      <w:r>
        <w:rPr>
          <w:rFonts w:ascii="Times New Roman" w:cs="Times New Roman" w:eastAsia="Times New Roman" w:hAnsi="Times New Roman"/>
          <w:sz w:val="28"/>
          <w:szCs w:val="28"/>
        </w:rPr>
        <w:t xml:space="preserve"> Produced waters of oil and gas fields are considered an unconventional source of lithium, but their suitability is not determined by lithium content alone. The paper evaluates under which combinations of lithium concentration, salinity, Mg/Li and Ca/Li ratios, annual water volume and sorbent service life the flowsheet “pretreatment — sorption — desorption — Li</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precipitation” is technologically robust and economically justified, focusing on calcium chloride brines of Eastern Siberia. Published data of 2019–2026 on produced water composition, pretreatment and sorbent performance in real waters were systematized; a mass balance was compiled for three scenarios, and the threshold lithium concentration was calculated as a function of water volume and lithium carbonate price. For the Znamenskoye and Kovykta brines (Li about 0.4 g/L, Ca 121–154 g/L, Mg/Li about 72), reagents for complete softening cost 4.7–5.5 times more than the contained lithium. Pretreatment should therefore be limited to removing oil, suspended solids, Fe, Mn and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 while lithium should be separated from calcium and magnesium by a DGAL-Cl-type lithium-aluminum sorbent followed by eluate purification. Overall lithium recovery of the flowsheet is 0.44–0.78, with the main losses at the sorption and product stages. At 9 thousand USD/t (2025 average), the threshold concentration is about 270 mg/L at 1.5 million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/year and 170 mg/L at 10 million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/year, and at 20 thousand USD/t (September 2026) 97 and 60 mg/L; it is most sensitive to product price, overall recovery and capital costs. The model reproduces the order of magnitude of the published threshold for the Orenburg field and the industry estimate of 4–5 thousand USD/t for deep brines. Produced waters of existing oil treatment units (30–70 mg/L) remain unprofitable even at 2026 prices, whereas deep brines (170–410 mg/L) withdrawn at several million cubic meters per year yield unit costs of about 4.7 thousand USD/t. Sorbent service life remains the main source of uncertainty. Criteria for selecting sites for pilot testing are proposed.</w:t>
      </w:r>
    </w:p>
    <w:p>
      <w:pPr>
        <w:spacing w:after="0" w:before="0" w:line="276" w:lineRule="auto"/>
        <w:ind w:firstLine="709"/>
        <w:jc w:val="both"/>
      </w:pPr>
      <w:r>
        <w:rPr>
          <w:rFonts w:ascii="Times New Roman" w:cs="Times New Roman" w:eastAsia="Times New Roman" w:hAnsi="Times New Roman"/>
          <w:b/>
          <w:bCs/>
          <w:sz w:val="28"/>
          <w:szCs w:val="28"/>
        </w:rPr>
        <w:t xml:space="preserve">Keywords:</w:t>
      </w:r>
      <w:r>
        <w:rPr>
          <w:rFonts w:ascii="Times New Roman" w:cs="Times New Roman" w:eastAsia="Times New Roman" w:hAnsi="Times New Roman"/>
          <w:sz w:val="28"/>
          <w:szCs w:val="28"/>
        </w:rPr>
        <w:t xml:space="preserve"> lithium, produced water, oilfield brines, direct lithium extraction, sorption, lithium-aluminum layered double hydroxide, pretreatment, lithium carbonate, techno-economic assessment, Eastern Siberia.</w:t>
      </w:r>
    </w:p>
    <w:sectPr>
      <w:pgSz w:w="11906" w:h="16838" w:orient="portrait"/>
      <w:pgMar w:top="1559" w:right="1134" w:bottom="1134" w:left="1134" w:header="709"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pPr>
      <w:r>
        <w:rPr>
          <w:rStyle w:val="FootnoteReference"/>
        </w:rPr>
        <w:footnoteRef/>
      </w:r>
      <w:r>
        <w:rPr>
          <w:rFonts w:ascii="Times New Roman" w:cs="Times New Roman" w:eastAsia="Times New Roman" w:hAnsi="Times New Roman"/>
          <w:sz w:val="20"/>
          <w:szCs w:val="20"/>
        </w:rPr>
        <w:t xml:space="preserve">U.S. Geological Survey. Lithium // Mineral Commodity Summaries 2026. URL: https://pubs.usgs.gov/periodicals/mcs2026/mcs2026-lithium.pdf (дата обращения: 25.09.2026).</w:t>
      </w:r>
    </w:p>
  </w:footnote>
  <w:footnote w:id="2">
    <w:p>
      <w:pPr>
        <w:spacing w:after="0" w:before="0" w:line="240" w:lineRule="auto"/>
      </w:pPr>
      <w:r>
        <w:rPr>
          <w:rStyle w:val="FootnoteReference"/>
        </w:rPr>
        <w:footnoteRef/>
      </w:r>
      <w:r>
        <w:rPr>
          <w:rFonts w:ascii="Times New Roman" w:cs="Times New Roman" w:eastAsia="Times New Roman" w:hAnsi="Times New Roman"/>
          <w:sz w:val="20"/>
          <w:szCs w:val="20"/>
        </w:rPr>
        <w:t xml:space="preserve">Lithium prices // Benchmark Mineral Intelligence. URL: https://www.benchmarkminerals.com/lithium/prices (дата обращения: 25.09.2026).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dfbf74f5947f67ab6989d11c70417899d0ae41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Сорбционное извлечение лития из попутных вод — текст доклада</dc:title>
  <dc:creator>М. А. Мкртичян, Н. А. Мкртичян</dc:creator>
  <cp:lastModifiedBy>Un-named</cp:lastModifiedBy>
  <cp:revision>1</cp:revision>
  <dcterms:created xsi:type="dcterms:W3CDTF">2026-09-28T19:00:40.375Z</dcterms:created>
  <dcterms:modified xsi:type="dcterms:W3CDTF">2026-09-28T19:00:40.376Z</dcterms:modified>
</cp:coreProperties>
</file>

<file path=docProps/custom.xml><?xml version="1.0" encoding="utf-8"?>
<Properties xmlns="http://schemas.openxmlformats.org/officeDocument/2006/custom-properties" xmlns:vt="http://schemas.openxmlformats.org/officeDocument/2006/docPropsVTypes"/>
</file>