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424E482" w:rsidR="00C16F94" w:rsidRDefault="00B7638C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B7638C">
              <w:rPr>
                <w:bCs/>
                <w:sz w:val="24"/>
                <w:szCs w:val="24"/>
              </w:rPr>
              <w:t>COBRANÇA DE INADIMPLENTES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92A61E0" w14:textId="059E28FF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1. DEFINIÇÃO</w:t>
      </w:r>
    </w:p>
    <w:p w14:paraId="54B0F65D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39F9921C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t>Conjunto de ações sistemáticas e organizadas para identificação, notificação e cobrança de condôminos que estão em atraso com suas obrigações financeiras, especialmente a taxa condominial, visando garantir o equilíbrio financeiro do condomínio.</w:t>
      </w:r>
    </w:p>
    <w:p w14:paraId="36671DCE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4A3B4894">
          <v:rect id="_x0000_i1061" style="width:0;height:1.5pt" o:hralign="center" o:hrstd="t" o:hr="t" fillcolor="#a0a0a0" stroked="f"/>
        </w:pict>
      </w:r>
    </w:p>
    <w:p w14:paraId="6985EE9D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2CEF3550" w14:textId="1140A5DB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2. OBJETIVO</w:t>
      </w:r>
    </w:p>
    <w:p w14:paraId="2C016FD9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6FDD10DB" w14:textId="77777777" w:rsidR="00B7638C" w:rsidRPr="00B7638C" w:rsidRDefault="00B7638C" w:rsidP="00B7638C">
      <w:pPr>
        <w:numPr>
          <w:ilvl w:val="0"/>
          <w:numId w:val="49"/>
        </w:numPr>
        <w:rPr>
          <w:bCs/>
          <w:lang w:val="pt-BR"/>
        </w:rPr>
      </w:pPr>
      <w:r w:rsidRPr="00B7638C">
        <w:rPr>
          <w:bCs/>
          <w:lang w:val="pt-BR"/>
        </w:rPr>
        <w:t>Reduzir a inadimplência no condomínio.</w:t>
      </w:r>
    </w:p>
    <w:p w14:paraId="0EDC96C0" w14:textId="77777777" w:rsidR="00B7638C" w:rsidRPr="00B7638C" w:rsidRDefault="00B7638C" w:rsidP="00B7638C">
      <w:pPr>
        <w:numPr>
          <w:ilvl w:val="0"/>
          <w:numId w:val="49"/>
        </w:numPr>
        <w:rPr>
          <w:bCs/>
          <w:lang w:val="pt-BR"/>
        </w:rPr>
      </w:pPr>
      <w:r w:rsidRPr="00B7638C">
        <w:rPr>
          <w:bCs/>
          <w:lang w:val="pt-BR"/>
        </w:rPr>
        <w:t>Garantir o recebimento das receitas para manter a operação e serviços do condomínio.</w:t>
      </w:r>
    </w:p>
    <w:p w14:paraId="3F8FFA86" w14:textId="77777777" w:rsidR="00B7638C" w:rsidRPr="00B7638C" w:rsidRDefault="00B7638C" w:rsidP="00B7638C">
      <w:pPr>
        <w:numPr>
          <w:ilvl w:val="0"/>
          <w:numId w:val="49"/>
        </w:numPr>
        <w:rPr>
          <w:bCs/>
          <w:lang w:val="pt-BR"/>
        </w:rPr>
      </w:pPr>
      <w:r w:rsidRPr="00B7638C">
        <w:rPr>
          <w:bCs/>
          <w:lang w:val="pt-BR"/>
        </w:rPr>
        <w:t>Estabelecer um processo claro, ético e transparente de cobrança.</w:t>
      </w:r>
    </w:p>
    <w:p w14:paraId="118AB80E" w14:textId="77777777" w:rsidR="00B7638C" w:rsidRPr="00B7638C" w:rsidRDefault="00B7638C" w:rsidP="00B7638C">
      <w:pPr>
        <w:numPr>
          <w:ilvl w:val="0"/>
          <w:numId w:val="49"/>
        </w:numPr>
        <w:rPr>
          <w:bCs/>
          <w:lang w:val="pt-BR"/>
        </w:rPr>
      </w:pPr>
      <w:r w:rsidRPr="00B7638C">
        <w:rPr>
          <w:bCs/>
          <w:lang w:val="pt-BR"/>
        </w:rPr>
        <w:t>Evitar ações judiciais por meio de negociações e acordos prévios.</w:t>
      </w:r>
    </w:p>
    <w:p w14:paraId="11C3AE9B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5F5C40D6">
          <v:rect id="_x0000_i1062" style="width:0;height:1.5pt" o:hralign="center" o:hrstd="t" o:hr="t" fillcolor="#a0a0a0" stroked="f"/>
        </w:pict>
      </w:r>
    </w:p>
    <w:p w14:paraId="21F118F2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1B0E28A8" w14:textId="3A46C193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3. EXECUTANTES</w:t>
      </w:r>
    </w:p>
    <w:p w14:paraId="500324F0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093A7F4A" w14:textId="77777777" w:rsidR="00B7638C" w:rsidRPr="00B7638C" w:rsidRDefault="00B7638C" w:rsidP="00B7638C">
      <w:pPr>
        <w:numPr>
          <w:ilvl w:val="0"/>
          <w:numId w:val="50"/>
        </w:numPr>
        <w:rPr>
          <w:bCs/>
          <w:lang w:val="pt-BR"/>
        </w:rPr>
      </w:pPr>
      <w:r w:rsidRPr="00B7638C">
        <w:rPr>
          <w:bCs/>
          <w:lang w:val="pt-BR"/>
        </w:rPr>
        <w:t>Síndico ou administrador do condomínio.</w:t>
      </w:r>
    </w:p>
    <w:p w14:paraId="2431ED96" w14:textId="77777777" w:rsidR="00B7638C" w:rsidRPr="00B7638C" w:rsidRDefault="00B7638C" w:rsidP="00B7638C">
      <w:pPr>
        <w:numPr>
          <w:ilvl w:val="0"/>
          <w:numId w:val="50"/>
        </w:numPr>
        <w:rPr>
          <w:bCs/>
          <w:lang w:val="pt-BR"/>
        </w:rPr>
      </w:pPr>
      <w:r w:rsidRPr="00B7638C">
        <w:rPr>
          <w:bCs/>
          <w:lang w:val="pt-BR"/>
        </w:rPr>
        <w:t>Departamento financeiro ou responsável pela gestão financeira.</w:t>
      </w:r>
    </w:p>
    <w:p w14:paraId="2A7453B5" w14:textId="77777777" w:rsidR="00B7638C" w:rsidRPr="00B7638C" w:rsidRDefault="00B7638C" w:rsidP="00B7638C">
      <w:pPr>
        <w:numPr>
          <w:ilvl w:val="0"/>
          <w:numId w:val="50"/>
        </w:numPr>
        <w:rPr>
          <w:bCs/>
          <w:lang w:val="pt-BR"/>
        </w:rPr>
      </w:pPr>
      <w:r w:rsidRPr="00B7638C">
        <w:rPr>
          <w:bCs/>
          <w:lang w:val="pt-BR"/>
        </w:rPr>
        <w:t>Conselho fiscal (quando envolvido em aprovações ou decisões).</w:t>
      </w:r>
    </w:p>
    <w:p w14:paraId="4BBC13C8" w14:textId="77777777" w:rsidR="00B7638C" w:rsidRPr="00B7638C" w:rsidRDefault="00B7638C" w:rsidP="00B7638C">
      <w:pPr>
        <w:numPr>
          <w:ilvl w:val="0"/>
          <w:numId w:val="50"/>
        </w:numPr>
        <w:rPr>
          <w:bCs/>
          <w:lang w:val="pt-BR"/>
        </w:rPr>
      </w:pPr>
      <w:r w:rsidRPr="00B7638C">
        <w:rPr>
          <w:bCs/>
          <w:lang w:val="pt-BR"/>
        </w:rPr>
        <w:t>Empresa terceirizada de cobrança (se contratada).</w:t>
      </w:r>
    </w:p>
    <w:p w14:paraId="094FAF02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7130413C">
          <v:rect id="_x0000_i1063" style="width:0;height:1.5pt" o:hralign="center" o:hrstd="t" o:hr="t" fillcolor="#a0a0a0" stroked="f"/>
        </w:pict>
      </w:r>
    </w:p>
    <w:p w14:paraId="3900C48E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50F9A0EA" w14:textId="4D853096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4. MATERIAIS UTILIZADOS</w:t>
      </w:r>
    </w:p>
    <w:p w14:paraId="14107B49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139F0BE6" w14:textId="77777777" w:rsidR="00B7638C" w:rsidRPr="00B7638C" w:rsidRDefault="00B7638C" w:rsidP="00B7638C">
      <w:pPr>
        <w:numPr>
          <w:ilvl w:val="0"/>
          <w:numId w:val="51"/>
        </w:numPr>
        <w:rPr>
          <w:bCs/>
          <w:lang w:val="pt-BR"/>
        </w:rPr>
      </w:pPr>
      <w:r w:rsidRPr="00B7638C">
        <w:rPr>
          <w:bCs/>
          <w:lang w:val="pt-BR"/>
        </w:rPr>
        <w:t>Sistema ou software de gestão condominial com controle financeiro.</w:t>
      </w:r>
    </w:p>
    <w:p w14:paraId="579836B1" w14:textId="77777777" w:rsidR="00B7638C" w:rsidRPr="00B7638C" w:rsidRDefault="00B7638C" w:rsidP="00B7638C">
      <w:pPr>
        <w:numPr>
          <w:ilvl w:val="0"/>
          <w:numId w:val="51"/>
        </w:numPr>
        <w:rPr>
          <w:bCs/>
          <w:lang w:val="pt-BR"/>
        </w:rPr>
      </w:pPr>
      <w:r w:rsidRPr="00B7638C">
        <w:rPr>
          <w:bCs/>
          <w:lang w:val="pt-BR"/>
        </w:rPr>
        <w:t>Registros e extratos financeiros atualizados.</w:t>
      </w:r>
    </w:p>
    <w:p w14:paraId="057710BA" w14:textId="77777777" w:rsidR="00B7638C" w:rsidRPr="00B7638C" w:rsidRDefault="00B7638C" w:rsidP="00B7638C">
      <w:pPr>
        <w:numPr>
          <w:ilvl w:val="0"/>
          <w:numId w:val="51"/>
        </w:numPr>
        <w:rPr>
          <w:bCs/>
          <w:lang w:val="pt-BR"/>
        </w:rPr>
      </w:pPr>
      <w:r w:rsidRPr="00B7638C">
        <w:rPr>
          <w:bCs/>
          <w:lang w:val="pt-BR"/>
        </w:rPr>
        <w:t>Modelos de comunicados, notificações e cartas de cobrança.</w:t>
      </w:r>
    </w:p>
    <w:p w14:paraId="43C95CAD" w14:textId="77777777" w:rsidR="00B7638C" w:rsidRPr="00B7638C" w:rsidRDefault="00B7638C" w:rsidP="00B7638C">
      <w:pPr>
        <w:numPr>
          <w:ilvl w:val="0"/>
          <w:numId w:val="51"/>
        </w:numPr>
        <w:rPr>
          <w:bCs/>
          <w:lang w:val="pt-BR"/>
        </w:rPr>
      </w:pPr>
      <w:r w:rsidRPr="00B7638C">
        <w:rPr>
          <w:bCs/>
          <w:lang w:val="pt-BR"/>
        </w:rPr>
        <w:t>Telefone, e-mail e/ou correspondência física para contato.</w:t>
      </w:r>
    </w:p>
    <w:p w14:paraId="1EF54007" w14:textId="77777777" w:rsidR="00B7638C" w:rsidRPr="00B7638C" w:rsidRDefault="00B7638C" w:rsidP="00B7638C">
      <w:pPr>
        <w:numPr>
          <w:ilvl w:val="0"/>
          <w:numId w:val="51"/>
        </w:numPr>
        <w:rPr>
          <w:bCs/>
          <w:lang w:val="pt-BR"/>
        </w:rPr>
      </w:pPr>
      <w:r w:rsidRPr="00B7638C">
        <w:rPr>
          <w:bCs/>
          <w:lang w:val="pt-BR"/>
        </w:rPr>
        <w:t>Documentos legais e normativos aplicáveis.</w:t>
      </w:r>
    </w:p>
    <w:p w14:paraId="41A60497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63437F6C">
          <v:rect id="_x0000_i1064" style="width:0;height:1.5pt" o:hralign="center" o:hrstd="t" o:hr="t" fillcolor="#a0a0a0" stroked="f"/>
        </w:pict>
      </w:r>
    </w:p>
    <w:p w14:paraId="2478E0CC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190AE99A" w14:textId="702BC773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5. DESCRIÇÃO DO PROCEDIMENTO</w:t>
      </w:r>
    </w:p>
    <w:p w14:paraId="667DFBDE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52B07D21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5.1. Identificação do Inadimplente</w:t>
      </w:r>
    </w:p>
    <w:p w14:paraId="57BD4011" w14:textId="77777777" w:rsidR="00B7638C" w:rsidRPr="00B7638C" w:rsidRDefault="00B7638C" w:rsidP="00B7638C">
      <w:pPr>
        <w:numPr>
          <w:ilvl w:val="0"/>
          <w:numId w:val="52"/>
        </w:numPr>
        <w:rPr>
          <w:bCs/>
          <w:lang w:val="pt-BR"/>
        </w:rPr>
      </w:pPr>
      <w:r w:rsidRPr="00B7638C">
        <w:rPr>
          <w:bCs/>
          <w:lang w:val="pt-BR"/>
        </w:rPr>
        <w:t>Atualizar mensalmente o relatório de inadimplentes com nomes, unidades e valores em atraso.</w:t>
      </w:r>
    </w:p>
    <w:p w14:paraId="124FA74B" w14:textId="77777777" w:rsidR="00B7638C" w:rsidRPr="00B7638C" w:rsidRDefault="00B7638C" w:rsidP="00B7638C">
      <w:pPr>
        <w:numPr>
          <w:ilvl w:val="0"/>
          <w:numId w:val="52"/>
        </w:numPr>
        <w:rPr>
          <w:bCs/>
          <w:lang w:val="pt-BR"/>
        </w:rPr>
      </w:pPr>
      <w:r w:rsidRPr="00B7638C">
        <w:rPr>
          <w:bCs/>
          <w:lang w:val="pt-BR"/>
        </w:rPr>
        <w:t>Verificar histórico de pagamento para identificar padrões de atraso.</w:t>
      </w:r>
    </w:p>
    <w:p w14:paraId="14D196EE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5.2. Comunicação Inicial</w:t>
      </w:r>
    </w:p>
    <w:p w14:paraId="4797E228" w14:textId="77777777" w:rsidR="00B7638C" w:rsidRPr="00B7638C" w:rsidRDefault="00B7638C" w:rsidP="00B7638C">
      <w:pPr>
        <w:numPr>
          <w:ilvl w:val="0"/>
          <w:numId w:val="53"/>
        </w:numPr>
        <w:rPr>
          <w:bCs/>
          <w:lang w:val="pt-BR"/>
        </w:rPr>
      </w:pPr>
      <w:r w:rsidRPr="00B7638C">
        <w:rPr>
          <w:bCs/>
          <w:lang w:val="pt-BR"/>
        </w:rPr>
        <w:t>Enviar aviso amigável de cobrança (boleto, e-mail, SMS ou carta) logo após o vencimento da taxa condominial.</w:t>
      </w:r>
    </w:p>
    <w:p w14:paraId="28CBED21" w14:textId="77777777" w:rsidR="00B7638C" w:rsidRPr="00B7638C" w:rsidRDefault="00B7638C" w:rsidP="00B7638C">
      <w:pPr>
        <w:numPr>
          <w:ilvl w:val="0"/>
          <w:numId w:val="53"/>
        </w:numPr>
        <w:rPr>
          <w:bCs/>
          <w:lang w:val="pt-BR"/>
        </w:rPr>
      </w:pPr>
      <w:r w:rsidRPr="00B7638C">
        <w:rPr>
          <w:bCs/>
          <w:lang w:val="pt-BR"/>
        </w:rPr>
        <w:t>Disponibilizar canais de atendimento para esclarecimento de dúvidas e negociação.</w:t>
      </w:r>
    </w:p>
    <w:p w14:paraId="3254C13D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5.3. Segunda Notificação</w:t>
      </w:r>
    </w:p>
    <w:p w14:paraId="7886081D" w14:textId="77777777" w:rsidR="00B7638C" w:rsidRPr="00B7638C" w:rsidRDefault="00B7638C" w:rsidP="00B7638C">
      <w:pPr>
        <w:numPr>
          <w:ilvl w:val="0"/>
          <w:numId w:val="54"/>
        </w:numPr>
        <w:rPr>
          <w:bCs/>
          <w:lang w:val="pt-BR"/>
        </w:rPr>
      </w:pPr>
      <w:r w:rsidRPr="00B7638C">
        <w:rPr>
          <w:bCs/>
          <w:lang w:val="pt-BR"/>
        </w:rPr>
        <w:t>Caso o pagamento não seja efetuado em até 15 dias após o vencimento, enviar uma segunda notificação formal, reforçando a necessidade do pagamento.</w:t>
      </w:r>
    </w:p>
    <w:p w14:paraId="48F24143" w14:textId="77777777" w:rsidR="00B7638C" w:rsidRPr="00B7638C" w:rsidRDefault="00B7638C" w:rsidP="00B7638C">
      <w:pPr>
        <w:numPr>
          <w:ilvl w:val="0"/>
          <w:numId w:val="54"/>
        </w:numPr>
        <w:rPr>
          <w:bCs/>
          <w:lang w:val="pt-BR"/>
        </w:rPr>
      </w:pPr>
      <w:r w:rsidRPr="00B7638C">
        <w:rPr>
          <w:bCs/>
          <w:lang w:val="pt-BR"/>
        </w:rPr>
        <w:t>Incluir informações sobre possíveis multas e juros previstos na convenção do condomínio.</w:t>
      </w:r>
    </w:p>
    <w:p w14:paraId="10BE8394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5.4. Negociação e Acordos</w:t>
      </w:r>
    </w:p>
    <w:p w14:paraId="77CA8F3E" w14:textId="77777777" w:rsidR="00B7638C" w:rsidRPr="00B7638C" w:rsidRDefault="00B7638C" w:rsidP="00B7638C">
      <w:pPr>
        <w:numPr>
          <w:ilvl w:val="0"/>
          <w:numId w:val="55"/>
        </w:numPr>
        <w:rPr>
          <w:bCs/>
          <w:lang w:val="pt-BR"/>
        </w:rPr>
      </w:pPr>
      <w:r w:rsidRPr="00B7638C">
        <w:rPr>
          <w:bCs/>
          <w:lang w:val="pt-BR"/>
        </w:rPr>
        <w:t>Oferecer condições para parcelamento ou acordo amigável, conforme política do condomínio.</w:t>
      </w:r>
    </w:p>
    <w:p w14:paraId="30E62C7E" w14:textId="515E4563" w:rsidR="00B7638C" w:rsidRPr="00B7638C" w:rsidRDefault="00B7638C" w:rsidP="00B7638C">
      <w:pPr>
        <w:numPr>
          <w:ilvl w:val="0"/>
          <w:numId w:val="5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8A990E" wp14:editId="33B55BDD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1935" cy="9944100"/>
                <wp:effectExtent l="0" t="0" r="0" b="0"/>
                <wp:wrapNone/>
                <wp:docPr id="130628072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4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02654" id="Forma Livre: Forma 2" o:spid="_x0000_s1026" style="position:absolute;margin-left:0;margin-top:-47.4pt;width:519.05pt;height:783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VxKpg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7638C">
        <w:rPr>
          <w:bCs/>
          <w:lang w:val="pt-BR"/>
        </w:rPr>
        <w:t>Registrar todas as propostas, negociações e acordos firmados.</w:t>
      </w:r>
    </w:p>
    <w:p w14:paraId="0945B811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5.5. Notificação Formal de Cobrança</w:t>
      </w:r>
    </w:p>
    <w:p w14:paraId="52B312EE" w14:textId="77777777" w:rsidR="00B7638C" w:rsidRPr="00B7638C" w:rsidRDefault="00B7638C" w:rsidP="00B7638C">
      <w:pPr>
        <w:numPr>
          <w:ilvl w:val="0"/>
          <w:numId w:val="56"/>
        </w:numPr>
        <w:rPr>
          <w:bCs/>
          <w:lang w:val="pt-BR"/>
        </w:rPr>
      </w:pPr>
      <w:r w:rsidRPr="00B7638C">
        <w:rPr>
          <w:bCs/>
          <w:lang w:val="pt-BR"/>
        </w:rPr>
        <w:t>Se o inadimplemento persistir por prazo superior a 30 dias, enviar notificação extrajudicial formal com prazo para regularização, indicando que poderá haver cobrança judicial.</w:t>
      </w:r>
    </w:p>
    <w:p w14:paraId="3AEA1B7D" w14:textId="77777777" w:rsidR="00B7638C" w:rsidRPr="00B7638C" w:rsidRDefault="00B7638C" w:rsidP="00B7638C">
      <w:pPr>
        <w:ind w:left="360"/>
        <w:rPr>
          <w:b/>
          <w:bCs/>
          <w:lang w:val="pt-BR"/>
        </w:rPr>
      </w:pPr>
      <w:r w:rsidRPr="00B7638C">
        <w:rPr>
          <w:b/>
          <w:bCs/>
          <w:lang w:val="pt-BR"/>
        </w:rPr>
        <w:t>5.6. Ação Judicial (quando aplicável)</w:t>
      </w:r>
    </w:p>
    <w:p w14:paraId="422D5AE2" w14:textId="77777777" w:rsidR="00B7638C" w:rsidRPr="00B7638C" w:rsidRDefault="00B7638C" w:rsidP="00B7638C">
      <w:pPr>
        <w:numPr>
          <w:ilvl w:val="0"/>
          <w:numId w:val="57"/>
        </w:numPr>
        <w:rPr>
          <w:bCs/>
          <w:lang w:val="pt-BR"/>
        </w:rPr>
      </w:pPr>
      <w:r w:rsidRPr="00B7638C">
        <w:rPr>
          <w:bCs/>
          <w:lang w:val="pt-BR"/>
        </w:rPr>
        <w:t>Após esgotadas as tentativas amigáveis, o condomínio poderá encaminhar o caso para cobrança judicial, por meio de advogado ou empresa especializada.</w:t>
      </w:r>
    </w:p>
    <w:p w14:paraId="61046D16" w14:textId="77777777" w:rsidR="00B7638C" w:rsidRPr="00B7638C" w:rsidRDefault="00B7638C" w:rsidP="00B7638C">
      <w:pPr>
        <w:numPr>
          <w:ilvl w:val="0"/>
          <w:numId w:val="57"/>
        </w:numPr>
        <w:rPr>
          <w:bCs/>
          <w:lang w:val="pt-BR"/>
        </w:rPr>
      </w:pPr>
      <w:r w:rsidRPr="00B7638C">
        <w:rPr>
          <w:bCs/>
          <w:lang w:val="pt-BR"/>
        </w:rPr>
        <w:t>Registrar todas as etapas do processo para controle e transparência.</w:t>
      </w:r>
    </w:p>
    <w:p w14:paraId="01D9CECC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2F7C5057">
          <v:rect id="_x0000_i1065" style="width:0;height:1.5pt" o:hralign="center" o:hrstd="t" o:hr="t" fillcolor="#a0a0a0" stroked="f"/>
        </w:pict>
      </w:r>
    </w:p>
    <w:p w14:paraId="18CEC98F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1BDF0782" w14:textId="256DC857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6. OBSERVAÇÕES</w:t>
      </w:r>
    </w:p>
    <w:p w14:paraId="274605F0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562FBDD3" w14:textId="77777777" w:rsidR="00B7638C" w:rsidRPr="00B7638C" w:rsidRDefault="00B7638C" w:rsidP="00B7638C">
      <w:pPr>
        <w:numPr>
          <w:ilvl w:val="0"/>
          <w:numId w:val="58"/>
        </w:numPr>
        <w:rPr>
          <w:bCs/>
          <w:lang w:val="pt-BR"/>
        </w:rPr>
      </w:pPr>
      <w:r w:rsidRPr="00B7638C">
        <w:rPr>
          <w:bCs/>
          <w:lang w:val="pt-BR"/>
        </w:rPr>
        <w:t>A cobrança deve ser realizada com respeito e ética, evitando constrangimentos aos condôminos.</w:t>
      </w:r>
    </w:p>
    <w:p w14:paraId="00922FF5" w14:textId="77777777" w:rsidR="00B7638C" w:rsidRPr="00B7638C" w:rsidRDefault="00B7638C" w:rsidP="00B7638C">
      <w:pPr>
        <w:numPr>
          <w:ilvl w:val="0"/>
          <w:numId w:val="58"/>
        </w:numPr>
        <w:rPr>
          <w:bCs/>
          <w:lang w:val="pt-BR"/>
        </w:rPr>
      </w:pPr>
      <w:r w:rsidRPr="00B7638C">
        <w:rPr>
          <w:bCs/>
          <w:lang w:val="pt-BR"/>
        </w:rPr>
        <w:t>Respeitar os prazos legais e regras previstas na convenção e no Código Civil.</w:t>
      </w:r>
    </w:p>
    <w:p w14:paraId="0346777D" w14:textId="77777777" w:rsidR="00B7638C" w:rsidRPr="00B7638C" w:rsidRDefault="00B7638C" w:rsidP="00B7638C">
      <w:pPr>
        <w:numPr>
          <w:ilvl w:val="0"/>
          <w:numId w:val="58"/>
        </w:numPr>
        <w:rPr>
          <w:bCs/>
          <w:lang w:val="pt-BR"/>
        </w:rPr>
      </w:pPr>
      <w:r w:rsidRPr="00B7638C">
        <w:rPr>
          <w:bCs/>
          <w:lang w:val="pt-BR"/>
        </w:rPr>
        <w:t>Importante manter a comunicação documentada para eventuais comprovações.</w:t>
      </w:r>
    </w:p>
    <w:p w14:paraId="4162B3B4" w14:textId="77777777" w:rsidR="00B7638C" w:rsidRPr="00B7638C" w:rsidRDefault="00B7638C" w:rsidP="00B7638C">
      <w:pPr>
        <w:numPr>
          <w:ilvl w:val="0"/>
          <w:numId w:val="58"/>
        </w:numPr>
        <w:rPr>
          <w:bCs/>
          <w:lang w:val="pt-BR"/>
        </w:rPr>
      </w:pPr>
      <w:r w:rsidRPr="00B7638C">
        <w:rPr>
          <w:bCs/>
          <w:lang w:val="pt-BR"/>
        </w:rPr>
        <w:t>Incentivar a comunicação aberta para facilitar acordos e reduzir inadimplência.</w:t>
      </w:r>
    </w:p>
    <w:p w14:paraId="0294D5B3" w14:textId="77777777" w:rsidR="00B7638C" w:rsidRP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pict w14:anchorId="4F22E7FB">
          <v:rect id="_x0000_i1066" style="width:0;height:1.5pt" o:hralign="center" o:hrstd="t" o:hr="t" fillcolor="#a0a0a0" stroked="f"/>
        </w:pict>
      </w:r>
    </w:p>
    <w:p w14:paraId="7B97CDF0" w14:textId="77777777" w:rsidR="00B7638C" w:rsidRDefault="00B7638C" w:rsidP="00B7638C">
      <w:pPr>
        <w:ind w:left="360"/>
        <w:rPr>
          <w:b/>
          <w:bCs/>
          <w:lang w:val="pt-BR"/>
        </w:rPr>
      </w:pPr>
    </w:p>
    <w:p w14:paraId="22D6DBF7" w14:textId="1D46E4AD" w:rsidR="00B7638C" w:rsidRPr="00B7638C" w:rsidRDefault="00B7638C" w:rsidP="00B7638C">
      <w:pPr>
        <w:ind w:left="360"/>
        <w:rPr>
          <w:b/>
          <w:bCs/>
          <w:sz w:val="24"/>
          <w:szCs w:val="24"/>
          <w:lang w:val="pt-BR"/>
        </w:rPr>
      </w:pPr>
      <w:r w:rsidRPr="00B7638C">
        <w:rPr>
          <w:b/>
          <w:bCs/>
          <w:sz w:val="24"/>
          <w:szCs w:val="24"/>
          <w:lang w:val="pt-BR"/>
        </w:rPr>
        <w:t>7. REFERÊNCIAS BIBLIOGRÁFICAS</w:t>
      </w:r>
    </w:p>
    <w:p w14:paraId="504C3BBF" w14:textId="77777777" w:rsidR="00B7638C" w:rsidRPr="00B7638C" w:rsidRDefault="00B7638C" w:rsidP="00B7638C">
      <w:pPr>
        <w:ind w:left="360"/>
        <w:rPr>
          <w:b/>
          <w:bCs/>
          <w:lang w:val="pt-BR"/>
        </w:rPr>
      </w:pPr>
    </w:p>
    <w:p w14:paraId="27C16575" w14:textId="69A8A3B8" w:rsid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t>Lei nº 4.591/1964 – Condomínio Edilício</w:t>
      </w:r>
      <w:r w:rsidRPr="00B7638C">
        <w:rPr>
          <w:bCs/>
          <w:lang w:val="pt-BR"/>
        </w:rPr>
        <w:br/>
      </w:r>
      <w:hyperlink r:id="rId5" w:history="1">
        <w:r w:rsidRPr="00B7638C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7AE19B17" w14:textId="77777777" w:rsidR="00B7638C" w:rsidRPr="00B7638C" w:rsidRDefault="00B7638C" w:rsidP="00B7638C">
      <w:pPr>
        <w:ind w:left="360"/>
        <w:rPr>
          <w:bCs/>
          <w:lang w:val="pt-BR"/>
        </w:rPr>
      </w:pPr>
    </w:p>
    <w:p w14:paraId="415DF200" w14:textId="700B6BEB" w:rsid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t>Código Civil Brasileiro – Artigos 1336 e seguintes (obrigação do condômino)</w:t>
      </w:r>
      <w:r w:rsidRPr="00B7638C">
        <w:rPr>
          <w:bCs/>
          <w:lang w:val="pt-BR"/>
        </w:rPr>
        <w:br/>
      </w:r>
      <w:hyperlink r:id="rId6" w:history="1">
        <w:r w:rsidRPr="00B7638C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90B8613" w14:textId="77777777" w:rsidR="00B7638C" w:rsidRPr="00B7638C" w:rsidRDefault="00B7638C" w:rsidP="00B7638C">
      <w:pPr>
        <w:ind w:left="360"/>
        <w:rPr>
          <w:bCs/>
          <w:lang w:val="pt-BR"/>
        </w:rPr>
      </w:pPr>
    </w:p>
    <w:p w14:paraId="4C19C231" w14:textId="2F58AFCB" w:rsidR="00B7638C" w:rsidRDefault="00B7638C" w:rsidP="00B7638C">
      <w:pPr>
        <w:ind w:left="360"/>
        <w:rPr>
          <w:bCs/>
          <w:lang w:val="pt-BR"/>
        </w:rPr>
      </w:pPr>
      <w:r w:rsidRPr="00B7638C">
        <w:rPr>
          <w:bCs/>
          <w:lang w:val="pt-BR"/>
        </w:rPr>
        <w:t>Manual do Síndico – Cobrança e Gestão Financeira – Secovi-SP</w:t>
      </w:r>
      <w:r w:rsidRPr="00B7638C">
        <w:rPr>
          <w:bCs/>
          <w:lang w:val="pt-BR"/>
        </w:rPr>
        <w:br/>
      </w:r>
      <w:hyperlink r:id="rId7" w:history="1">
        <w:r w:rsidRPr="00B7638C">
          <w:rPr>
            <w:rStyle w:val="Hyperlink"/>
            <w:bCs/>
            <w:lang w:val="pt-BR"/>
          </w:rPr>
          <w:t>https://www.secovi.com.br/portal/manual-do-sindico</w:t>
        </w:r>
      </w:hyperlink>
    </w:p>
    <w:p w14:paraId="4190A783" w14:textId="77777777" w:rsidR="00B7638C" w:rsidRPr="00B7638C" w:rsidRDefault="00B7638C" w:rsidP="00B7638C">
      <w:pPr>
        <w:ind w:left="360"/>
        <w:rPr>
          <w:bCs/>
          <w:lang w:val="pt-BR"/>
        </w:rPr>
      </w:pPr>
    </w:p>
    <w:p w14:paraId="133BA3A0" w14:textId="7B8B347C" w:rsidR="00B7638C" w:rsidRDefault="00B7638C" w:rsidP="00B7638C">
      <w:pPr>
        <w:ind w:left="360"/>
        <w:rPr>
          <w:bCs/>
          <w:lang w:val="pt-BR"/>
        </w:rPr>
      </w:pPr>
      <w:proofErr w:type="spellStart"/>
      <w:r w:rsidRPr="00B7638C">
        <w:rPr>
          <w:bCs/>
          <w:lang w:val="pt-BR"/>
        </w:rPr>
        <w:t>Sindiconet</w:t>
      </w:r>
      <w:proofErr w:type="spellEnd"/>
      <w:r w:rsidRPr="00B7638C">
        <w:rPr>
          <w:bCs/>
          <w:lang w:val="pt-BR"/>
        </w:rPr>
        <w:t xml:space="preserve"> – Guia para cobrança de inadimplentes em condomínios</w:t>
      </w:r>
      <w:r w:rsidRPr="00B7638C">
        <w:rPr>
          <w:bCs/>
          <w:lang w:val="pt-BR"/>
        </w:rPr>
        <w:br/>
      </w:r>
      <w:hyperlink r:id="rId8" w:history="1">
        <w:r w:rsidRPr="00B7638C">
          <w:rPr>
            <w:rStyle w:val="Hyperlink"/>
            <w:bCs/>
            <w:lang w:val="pt-BR"/>
          </w:rPr>
          <w:t>https://www.sindiconet.com.br/cobranca-de-inadimplentes</w:t>
        </w:r>
      </w:hyperlink>
    </w:p>
    <w:p w14:paraId="2F1F5C8C" w14:textId="77777777" w:rsidR="00B7638C" w:rsidRPr="00B7638C" w:rsidRDefault="00B7638C" w:rsidP="00B7638C">
      <w:pPr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E323E"/>
    <w:multiLevelType w:val="multilevel"/>
    <w:tmpl w:val="65C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9114F"/>
    <w:multiLevelType w:val="multilevel"/>
    <w:tmpl w:val="4F02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BE4662"/>
    <w:multiLevelType w:val="multilevel"/>
    <w:tmpl w:val="AF42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0F73CDA"/>
    <w:multiLevelType w:val="multilevel"/>
    <w:tmpl w:val="80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9AE6EE5"/>
    <w:multiLevelType w:val="multilevel"/>
    <w:tmpl w:val="31B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A70118"/>
    <w:multiLevelType w:val="multilevel"/>
    <w:tmpl w:val="495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ED096B"/>
    <w:multiLevelType w:val="multilevel"/>
    <w:tmpl w:val="DF2A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53254E0"/>
    <w:multiLevelType w:val="multilevel"/>
    <w:tmpl w:val="D328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6B58C5"/>
    <w:multiLevelType w:val="multilevel"/>
    <w:tmpl w:val="AFD2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86A39"/>
    <w:multiLevelType w:val="multilevel"/>
    <w:tmpl w:val="B4A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713C4D"/>
    <w:multiLevelType w:val="multilevel"/>
    <w:tmpl w:val="0EBA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2"/>
  </w:num>
  <w:num w:numId="6" w16cid:durableId="467816767">
    <w:abstractNumId w:val="10"/>
  </w:num>
  <w:num w:numId="7" w16cid:durableId="1640063979">
    <w:abstractNumId w:val="31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8"/>
  </w:num>
  <w:num w:numId="11" w16cid:durableId="548107610">
    <w:abstractNumId w:val="50"/>
  </w:num>
  <w:num w:numId="12" w16cid:durableId="1174763998">
    <w:abstractNumId w:val="35"/>
  </w:num>
  <w:num w:numId="13" w16cid:durableId="2049452361">
    <w:abstractNumId w:val="46"/>
  </w:num>
  <w:num w:numId="14" w16cid:durableId="149636802">
    <w:abstractNumId w:val="44"/>
  </w:num>
  <w:num w:numId="15" w16cid:durableId="112022815">
    <w:abstractNumId w:val="33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1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5"/>
  </w:num>
  <w:num w:numId="24" w16cid:durableId="223609730">
    <w:abstractNumId w:val="43"/>
  </w:num>
  <w:num w:numId="25" w16cid:durableId="1022242917">
    <w:abstractNumId w:val="28"/>
  </w:num>
  <w:num w:numId="26" w16cid:durableId="1490898302">
    <w:abstractNumId w:val="40"/>
  </w:num>
  <w:num w:numId="27" w16cid:durableId="279186382">
    <w:abstractNumId w:val="21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19"/>
  </w:num>
  <w:num w:numId="32" w16cid:durableId="733511544">
    <w:abstractNumId w:val="42"/>
  </w:num>
  <w:num w:numId="33" w16cid:durableId="345443218">
    <w:abstractNumId w:val="17"/>
  </w:num>
  <w:num w:numId="34" w16cid:durableId="1247610869">
    <w:abstractNumId w:val="14"/>
  </w:num>
  <w:num w:numId="35" w16cid:durableId="911156410">
    <w:abstractNumId w:val="45"/>
  </w:num>
  <w:num w:numId="36" w16cid:durableId="1675066455">
    <w:abstractNumId w:val="18"/>
  </w:num>
  <w:num w:numId="37" w16cid:durableId="1930191734">
    <w:abstractNumId w:val="54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7"/>
  </w:num>
  <w:num w:numId="48" w16cid:durableId="341934012">
    <w:abstractNumId w:val="20"/>
  </w:num>
  <w:num w:numId="49" w16cid:durableId="1429160884">
    <w:abstractNumId w:val="24"/>
  </w:num>
  <w:num w:numId="50" w16cid:durableId="58594801">
    <w:abstractNumId w:val="11"/>
  </w:num>
  <w:num w:numId="51" w16cid:durableId="352922189">
    <w:abstractNumId w:val="56"/>
  </w:num>
  <w:num w:numId="52" w16cid:durableId="1278871776">
    <w:abstractNumId w:val="58"/>
  </w:num>
  <w:num w:numId="53" w16cid:durableId="695085422">
    <w:abstractNumId w:val="22"/>
  </w:num>
  <w:num w:numId="54" w16cid:durableId="1498494335">
    <w:abstractNumId w:val="15"/>
  </w:num>
  <w:num w:numId="55" w16cid:durableId="930502770">
    <w:abstractNumId w:val="52"/>
  </w:num>
  <w:num w:numId="56" w16cid:durableId="2024427965">
    <w:abstractNumId w:val="41"/>
  </w:num>
  <w:num w:numId="57" w16cid:durableId="791366939">
    <w:abstractNumId w:val="53"/>
  </w:num>
  <w:num w:numId="58" w16cid:durableId="2073045356">
    <w:abstractNumId w:val="34"/>
  </w:num>
  <w:num w:numId="59" w16cid:durableId="142822877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7638C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8350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cobranca-de-inadimplen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ovi.com.br/portal/manual-do-sindi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planalto.gov.br/ccivil_03/leis/L459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2025-05-26T15:28:00Z</dcterms:created>
  <dcterms:modified xsi:type="dcterms:W3CDTF">2025-05-26T15:28:00Z</dcterms:modified>
</cp:coreProperties>
</file>