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custos da empresa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EF0C64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Guia-lo pela conferencia do estoque físico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bookmarkStart w:id="1" w:name="_GoBack"/>
            <w:bookmarkEnd w:id="1"/>
            <w:r>
              <w:t>O</w:t>
            </w:r>
            <w:r>
              <w:t xml:space="preserve">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proofErr w:type="spellStart"/>
            <w:r>
              <w:t>XMLs</w:t>
            </w:r>
            <w:proofErr w:type="spellEnd"/>
            <w:r>
              <w:t xml:space="preserve"> das notas fiscais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>São responsáveis pelos registros de saída do estoque.</w:t>
            </w:r>
          </w:p>
        </w:tc>
      </w:tr>
    </w:tbl>
    <w:p w:rsidR="00F80E42" w:rsidRPr="00DD01C0" w:rsidRDefault="00F80E42">
      <w:pPr>
        <w:rPr>
          <w:u w:val="single"/>
        </w:rPr>
      </w:pPr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6539"/>
    <w:rsid w:val="00636AB8"/>
    <w:rsid w:val="00C82287"/>
    <w:rsid w:val="00DD01C0"/>
    <w:rsid w:val="00EF0C64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165F-60BE-451C-A333-DF00D98C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2019-09-25T20:37:00Z</dcterms:created>
  <dcterms:modified xsi:type="dcterms:W3CDTF">2019-09-25T21:22:00Z</dcterms:modified>
</cp:coreProperties>
</file>