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22"/>
          <w:szCs w:val="22"/>
        </w:rPr>
      </w:pPr>
      <w:bookmarkStart w:colFirst="0" w:colLast="0" w:name="_576ymk2lnjot" w:id="0"/>
      <w:bookmarkEnd w:id="0"/>
      <w:r w:rsidDel="00000000" w:rsidR="00000000" w:rsidRPr="00000000">
        <w:rPr>
          <w:b w:val="1"/>
          <w:bCs w:val="1"/>
          <w:sz w:val="22"/>
          <w:szCs w:val="22"/>
          <w:rtl w:val="0"/>
        </w:rPr>
        <w:t xml:space="preserve">Airline Names Data Dictionary</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5utotldqh1pj" w:id="1"/>
      <w:bookmarkEnd w:id="1"/>
      <w:r w:rsidDel="00000000" w:rsidR="00000000" w:rsidRPr="00000000">
        <w:rPr>
          <w:sz w:val="22"/>
          <w:szCs w:val="22"/>
          <w:rtl w:val="0"/>
        </w:rPr>
        <w:t xml:space="preserve">When analyzing raw aviation data from the portal of the Directorate General of Civil Aviation (DGCA), airline company names are often unstructured and inconsistent. Official lists frequently contain typographical errors, legacy company names, and multiple variations for entities belonging to the same parent company.</w:t>
      </w:r>
    </w:p>
    <w:p w:rsidR="00000000" w:rsidDel="00000000" w:rsidP="00000000" w:rsidRDefault="00000000" w:rsidRPr="00000000" w14:paraId="00000003">
      <w:pPr>
        <w:rPr/>
      </w:pPr>
      <w:r w:rsidDel="00000000" w:rsidR="00000000" w:rsidRPr="00000000">
        <w:rPr>
          <w:rtl w:val="0"/>
        </w:rPr>
        <w:t xml:space="preserve">At Dataful, we realised this challenge and have put in significant efforts to clean up, reconcile, and provide accurate data. Standardization simply means cleaning up these names, so every company has one clear, consistent identity. Without this cleanup, analytical systems and software make critical errors such as counting the same airline twice, fragmenting historical market share, or missing an operator completely.</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b w:val="1"/>
          <w:bCs w:val="1"/>
        </w:rPr>
      </w:pPr>
      <w:r w:rsidDel="00000000" w:rsidR="00000000" w:rsidRPr="00000000">
        <w:rPr>
          <w:b w:val="1"/>
          <w:bCs w:val="1"/>
          <w:rtl w:val="0"/>
        </w:rPr>
        <w:t xml:space="preserve">What the Standardization Process Covers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Dataful’s cleaning strategy systematically resolves these issues across four primary categories: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numPr>
          <w:ilvl w:val="0"/>
          <w:numId w:val="2"/>
        </w:numPr>
        <w:ind w:left="720" w:hanging="360"/>
        <w:rPr>
          <w:i w:val="1"/>
          <w:iCs w:val="1"/>
          <w:u w:val="none"/>
        </w:rPr>
      </w:pPr>
      <w:r w:rsidDel="00000000" w:rsidR="00000000" w:rsidRPr="00000000">
        <w:rPr>
          <w:i w:val="1"/>
          <w:iCs w:val="1"/>
          <w:rtl w:val="0"/>
        </w:rPr>
        <w:t xml:space="preserve">Typos, Formatting, and Text Variations</w:t>
      </w:r>
    </w:p>
    <w:p w:rsidR="00000000" w:rsidDel="00000000" w:rsidP="00000000" w:rsidRDefault="00000000" w:rsidRPr="00000000" w14:paraId="0000000A">
      <w:pPr>
        <w:ind w:left="720" w:firstLine="0"/>
        <w:rPr/>
      </w:pPr>
      <w:r w:rsidDel="00000000" w:rsidR="00000000" w:rsidRPr="00000000">
        <w:rPr>
          <w:rtl w:val="0"/>
        </w:rPr>
        <w:t xml:space="preserve"> </w:t>
      </w:r>
    </w:p>
    <w:p w:rsidR="00000000" w:rsidDel="00000000" w:rsidP="00000000" w:rsidRDefault="00000000" w:rsidRPr="00000000" w14:paraId="0000000B">
      <w:pPr>
        <w:ind w:left="720" w:firstLine="0"/>
        <w:rPr/>
      </w:pPr>
      <w:r w:rsidDel="00000000" w:rsidR="00000000" w:rsidRPr="00000000">
        <w:rPr>
          <w:rtl w:val="0"/>
        </w:rPr>
        <w:t xml:space="preserve">Corrects spelling errors, manual typos, spacing issues, and minor text additions (such as corporate legal suffixes or operational category tags) into uniform master entries.</w:t>
      </w:r>
    </w:p>
    <w:p w:rsidR="00000000" w:rsidDel="00000000" w:rsidP="00000000" w:rsidRDefault="00000000" w:rsidRPr="00000000" w14:paraId="0000000C">
      <w:pPr>
        <w:ind w:left="720" w:firstLine="0"/>
        <w:rPr/>
      </w:pP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rtl w:val="0"/>
        </w:rPr>
        <w:t xml:space="preserve">Eg: Raw datasets contain multiple inconsistent text strings for the same carrier-including "Air India Express Int", "Air India Express Limited", "Air India Express National", and "Air India Express Private". Standardizing all of these into a single master entry (Air India Express) prevents a single operator's flight metrics from being split across multiple entries.</w:t>
      </w:r>
    </w:p>
    <w:p w:rsidR="00000000" w:rsidDel="00000000" w:rsidP="00000000" w:rsidRDefault="00000000" w:rsidRPr="00000000" w14:paraId="0000000E">
      <w:pPr>
        <w:ind w:left="720" w:firstLine="0"/>
        <w:rPr/>
      </w:pPr>
      <w:r w:rsidDel="00000000" w:rsidR="00000000" w:rsidRPr="00000000">
        <w:rPr>
          <w:rtl w:val="0"/>
        </w:rPr>
        <w:t xml:space="preserve">Similarly, raw registries feature entries with inconsistent spacing and spelling, such as "King Fisher Airlines", "Kingfisher", and "Kingfisher Airlines". Cleaning these variations unifies all historical flight logs under Kingfisher Airlines.</w:t>
      </w:r>
    </w:p>
    <w:p w:rsidR="00000000" w:rsidDel="00000000" w:rsidP="00000000" w:rsidRDefault="00000000" w:rsidRPr="00000000" w14:paraId="0000000F">
      <w:pPr>
        <w:ind w:left="720" w:firstLine="0"/>
        <w:rPr/>
      </w:pPr>
      <w:r w:rsidDel="00000000" w:rsidR="00000000" w:rsidRPr="00000000">
        <w:rPr>
          <w:rtl w:val="0"/>
        </w:rPr>
        <w:t xml:space="preserve"> </w:t>
      </w:r>
    </w:p>
    <w:p w:rsidR="00000000" w:rsidDel="00000000" w:rsidP="00000000" w:rsidRDefault="00000000" w:rsidRPr="00000000" w14:paraId="00000010">
      <w:pPr>
        <w:numPr>
          <w:ilvl w:val="0"/>
          <w:numId w:val="1"/>
        </w:numPr>
        <w:ind w:left="720" w:hanging="360"/>
        <w:rPr>
          <w:i w:val="1"/>
          <w:iCs w:val="1"/>
          <w:u w:val="none"/>
        </w:rPr>
      </w:pPr>
      <w:r w:rsidDel="00000000" w:rsidR="00000000" w:rsidRPr="00000000">
        <w:rPr>
          <w:i w:val="1"/>
          <w:iCs w:val="1"/>
          <w:rtl w:val="0"/>
        </w:rPr>
        <w:t xml:space="preserve">Mergers, Acquisitions, and Corporate Restructuring</w:t>
      </w:r>
    </w:p>
    <w:p w:rsidR="00000000" w:rsidDel="00000000" w:rsidP="00000000" w:rsidRDefault="00000000" w:rsidRPr="00000000" w14:paraId="00000011">
      <w:pPr>
        <w:ind w:left="720" w:firstLine="0"/>
        <w:rPr/>
      </w:pPr>
      <w:r w:rsidDel="00000000" w:rsidR="00000000" w:rsidRPr="00000000">
        <w:rPr>
          <w:rtl w:val="0"/>
        </w:rPr>
        <w:t xml:space="preserve"> </w:t>
      </w:r>
    </w:p>
    <w:p w:rsidR="00000000" w:rsidDel="00000000" w:rsidP="00000000" w:rsidRDefault="00000000" w:rsidRPr="00000000" w14:paraId="00000012">
      <w:pPr>
        <w:ind w:left="720" w:firstLine="0"/>
        <w:rPr/>
      </w:pPr>
      <w:r w:rsidDel="00000000" w:rsidR="00000000" w:rsidRPr="00000000">
        <w:rPr>
          <w:rtl w:val="0"/>
        </w:rPr>
        <w:t xml:space="preserve">Links historical operational data of acquired or absorbed carriers to their respective acquiring parent brands. This keeps historical flight logs, fleet data, and capacity metrics intact without duplicating metrics or falsely showing closed airlines as active market players.</w:t>
      </w:r>
    </w:p>
    <w:p w:rsidR="00000000" w:rsidDel="00000000" w:rsidP="00000000" w:rsidRDefault="00000000" w:rsidRPr="00000000" w14:paraId="00000013">
      <w:pPr>
        <w:ind w:left="720" w:firstLine="0"/>
        <w:rPr/>
      </w:pPr>
      <w:r w:rsidDel="00000000" w:rsidR="00000000" w:rsidRPr="00000000">
        <w:rPr>
          <w:rtl w:val="0"/>
        </w:rPr>
        <w:t xml:space="preserve"> </w:t>
      </w:r>
    </w:p>
    <w:p w:rsidR="00000000" w:rsidDel="00000000" w:rsidP="00000000" w:rsidRDefault="00000000" w:rsidRPr="00000000" w14:paraId="00000014">
      <w:pPr>
        <w:ind w:left="720" w:firstLine="0"/>
        <w:rPr/>
      </w:pPr>
      <w:r w:rsidDel="00000000" w:rsidR="00000000" w:rsidRPr="00000000">
        <w:rPr>
          <w:rtl w:val="0"/>
        </w:rPr>
        <w:t xml:space="preserve">Eg: Air India &amp; Vistara: Vistara merged with Air India in 2024 and now operates fully under the Air India brand. Similarly, Indian Airlines was merged with Air India (completing legal integration in 2011) and is today part of the privatized Air India.</w:t>
      </w:r>
    </w:p>
    <w:p w:rsidR="00000000" w:rsidDel="00000000" w:rsidP="00000000" w:rsidRDefault="00000000" w:rsidRPr="00000000" w14:paraId="00000015">
      <w:pPr>
        <w:ind w:left="720" w:firstLine="0"/>
        <w:rPr/>
      </w:pPr>
      <w:r w:rsidDel="00000000" w:rsidR="00000000" w:rsidRPr="00000000">
        <w:rPr>
          <w:rtl w:val="0"/>
        </w:rPr>
        <w:t xml:space="preserve">Alliance Air was originally operated as a regional subsidiary alongside Indian Airlines. However, it split from Air India in April 2022 to become an independent Public Sector Undertaking (PSU).</w:t>
      </w:r>
    </w:p>
    <w:p w:rsidR="00000000" w:rsidDel="00000000" w:rsidP="00000000" w:rsidRDefault="00000000" w:rsidRPr="00000000" w14:paraId="00000016">
      <w:pPr>
        <w:ind w:left="720" w:firstLine="0"/>
        <w:rPr/>
      </w:pPr>
      <w:r w:rsidDel="00000000" w:rsidR="00000000" w:rsidRPr="00000000">
        <w:rPr>
          <w:rtl w:val="0"/>
        </w:rPr>
        <w:t xml:space="preserve"> </w:t>
      </w:r>
    </w:p>
    <w:p w:rsidR="00000000" w:rsidDel="00000000" w:rsidP="00000000" w:rsidRDefault="00000000" w:rsidRPr="00000000" w14:paraId="00000017">
      <w:pPr>
        <w:ind w:left="720" w:firstLine="0"/>
        <w:rPr/>
      </w:pPr>
      <w:r w:rsidDel="00000000" w:rsidR="00000000" w:rsidRPr="00000000">
        <w:rPr>
          <w:rtl w:val="0"/>
        </w:rPr>
        <w:t xml:space="preserve">Mapping these operational records ensures past capacity data for Vistara and Indian Airlines flows directly into Air India, while preventing Alliance Air statistics from being wrongly grouped with Air India after its April 2022 separation.</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numPr>
          <w:ilvl w:val="0"/>
          <w:numId w:val="3"/>
        </w:numPr>
        <w:ind w:left="720" w:hanging="360"/>
        <w:rPr>
          <w:i w:val="1"/>
          <w:iCs w:val="1"/>
          <w:u w:val="none"/>
        </w:rPr>
      </w:pPr>
      <w:r w:rsidDel="00000000" w:rsidR="00000000" w:rsidRPr="00000000">
        <w:rPr>
          <w:i w:val="1"/>
          <w:iCs w:val="1"/>
          <w:rtl w:val="0"/>
        </w:rPr>
        <w:t xml:space="preserve">Rebrandings, Insolvencies, and Operational Shutdowns</w:t>
      </w:r>
    </w:p>
    <w:p w:rsidR="00000000" w:rsidDel="00000000" w:rsidP="00000000" w:rsidRDefault="00000000" w:rsidRPr="00000000" w14:paraId="0000001A">
      <w:pPr>
        <w:ind w:left="720" w:firstLine="0"/>
        <w:rPr/>
      </w:pPr>
      <w:r w:rsidDel="00000000" w:rsidR="00000000" w:rsidRPr="00000000">
        <w:rPr>
          <w:rtl w:val="0"/>
        </w:rPr>
        <w:t xml:space="preserve"> </w:t>
      </w:r>
    </w:p>
    <w:p w:rsidR="00000000" w:rsidDel="00000000" w:rsidP="00000000" w:rsidRDefault="00000000" w:rsidRPr="00000000" w14:paraId="0000001B">
      <w:pPr>
        <w:ind w:left="720" w:firstLine="0"/>
        <w:rPr/>
      </w:pPr>
      <w:r w:rsidDel="00000000" w:rsidR="00000000" w:rsidRPr="00000000">
        <w:rPr>
          <w:rtl w:val="0"/>
        </w:rPr>
        <w:t xml:space="preserve">Unifies multi-year records for airlines that rebranded before suspending operations and flags defunct operators, enabling seamless tracking across an airline's full operational lifecycle-from active fleet years to its exact point of exit.</w:t>
      </w:r>
    </w:p>
    <w:p w:rsidR="00000000" w:rsidDel="00000000" w:rsidP="00000000" w:rsidRDefault="00000000" w:rsidRPr="00000000" w14:paraId="0000001C">
      <w:pPr>
        <w:ind w:left="720" w:firstLine="0"/>
        <w:rPr/>
      </w:pPr>
      <w:r w:rsidDel="00000000" w:rsidR="00000000" w:rsidRPr="00000000">
        <w:rPr>
          <w:rtl w:val="0"/>
        </w:rPr>
        <w:t xml:space="preserve"> </w:t>
      </w:r>
    </w:p>
    <w:p w:rsidR="00000000" w:rsidDel="00000000" w:rsidP="00000000" w:rsidRDefault="00000000" w:rsidRPr="00000000" w14:paraId="0000001D">
      <w:pPr>
        <w:ind w:left="720" w:firstLine="0"/>
        <w:rPr/>
      </w:pPr>
      <w:r w:rsidDel="00000000" w:rsidR="00000000" w:rsidRPr="00000000">
        <w:rPr>
          <w:rtl w:val="0"/>
        </w:rPr>
        <w:t xml:space="preserve">Eg: GoAir was rebranded as Go First in 2021 before eventually suspending operations and entering insolvency. A raw, multi-year dataset treats "GoAir", "Go Air", and "Go First" as three separate airlines, fragmenting its corporate history. Grouping these entries under a single identity as Go First preserves historical continuity, allowing analysts to track the exact timeline of its market share shift up to its collapse.</w:t>
      </w:r>
    </w:p>
    <w:p w:rsidR="00000000" w:rsidDel="00000000" w:rsidP="00000000" w:rsidRDefault="00000000" w:rsidRPr="00000000" w14:paraId="0000001E">
      <w:pPr>
        <w:ind w:left="720" w:firstLine="0"/>
        <w:rPr/>
      </w:pPr>
      <w:r w:rsidDel="00000000" w:rsidR="00000000" w:rsidRPr="00000000">
        <w:rPr>
          <w:rtl w:val="0"/>
        </w:rPr>
        <w:t xml:space="preserve"> </w:t>
      </w:r>
    </w:p>
    <w:p w:rsidR="00000000" w:rsidDel="00000000" w:rsidP="00000000" w:rsidRDefault="00000000" w:rsidRPr="00000000" w14:paraId="0000001F">
      <w:pPr>
        <w:ind w:left="720" w:firstLine="0"/>
        <w:rPr/>
      </w:pPr>
      <w:r w:rsidDel="00000000" w:rsidR="00000000" w:rsidRPr="00000000">
        <w:rPr>
          <w:b w:val="1"/>
          <w:bCs w:val="1"/>
          <w:rtl w:val="0"/>
        </w:rPr>
        <w:t xml:space="preserve">Reporting Inconsistencies Across DGCA Monthly Releases:</w:t>
      </w:r>
      <w:r w:rsidDel="00000000" w:rsidR="00000000" w:rsidRPr="00000000">
        <w:rPr>
          <w:rtl w:val="0"/>
        </w:rPr>
        <w:t xml:space="preserve"> Official monthly reports published by the DGCA frequently feature inconsistent naming conventions for the exact same carrier across different reporting periods. For example, in the DGCA report for</w:t>
      </w:r>
      <w:hyperlink r:id="rId6">
        <w:r w:rsidDel="00000000" w:rsidR="00000000" w:rsidRPr="00000000">
          <w:rPr>
            <w:rtl w:val="0"/>
          </w:rPr>
          <w:t xml:space="preserve"> </w:t>
        </w:r>
      </w:hyperlink>
      <w:hyperlink r:id="rId7">
        <w:r w:rsidDel="00000000" w:rsidR="00000000" w:rsidRPr="00000000">
          <w:rPr>
            <w:color w:val="1155cc"/>
            <w:u w:val="single"/>
            <w:rtl w:val="0"/>
          </w:rPr>
          <w:t xml:space="preserve">March 2021</w:t>
        </w:r>
      </w:hyperlink>
      <w:r w:rsidDel="00000000" w:rsidR="00000000" w:rsidRPr="00000000">
        <w:rPr>
          <w:rtl w:val="0"/>
        </w:rPr>
        <w:t xml:space="preserve">, the airline is listed as "Spicejet" (single word, lowercase 'j'). Meanwhile, in the report for</w:t>
      </w:r>
      <w:hyperlink r:id="rId8">
        <w:r w:rsidDel="00000000" w:rsidR="00000000" w:rsidRPr="00000000">
          <w:rPr>
            <w:rtl w:val="0"/>
          </w:rPr>
          <w:t xml:space="preserve"> </w:t>
        </w:r>
      </w:hyperlink>
      <w:hyperlink r:id="rId9">
        <w:r w:rsidDel="00000000" w:rsidR="00000000" w:rsidRPr="00000000">
          <w:rPr>
            <w:color w:val="1155cc"/>
            <w:u w:val="single"/>
            <w:rtl w:val="0"/>
          </w:rPr>
          <w:t xml:space="preserve">March 2026</w:t>
        </w:r>
      </w:hyperlink>
      <w:r w:rsidDel="00000000" w:rsidR="00000000" w:rsidRPr="00000000">
        <w:rPr>
          <w:rtl w:val="0"/>
        </w:rPr>
        <w:t xml:space="preserve">, the same company appears as "Spice Jet" (two separate words). Standardizing these variations into a unified master entry (SpiceJet) prevents multi-year time-series analysis from breaking and ensures operational metrics—such as cancellation rates—are tracked accurately over time.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firstLine="360"/>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b w:val="1"/>
          <w:bCs w:val="1"/>
        </w:rPr>
        <w:drawing>
          <wp:inline distB="114300" distT="114300" distL="114300" distR="114300">
            <wp:extent cx="4791075" cy="5114925"/>
            <wp:effectExtent b="12700" l="12700" r="12700" t="12700"/>
            <wp:docPr id="1" name="image1.png"/>
            <a:graphic>
              <a:graphicData uri="http://schemas.openxmlformats.org/drawingml/2006/picture">
                <pic:pic>
                  <pic:nvPicPr>
                    <pic:cNvPr id="0" name="image1.png"/>
                    <pic:cNvPicPr preferRelativeResize="0"/>
                  </pic:nvPicPr>
                  <pic:blipFill>
                    <a:blip r:embed="rId10"/>
                    <a:srcRect b="8846" l="10737" r="8654" t="22308"/>
                    <a:stretch>
                      <a:fillRect/>
                    </a:stretch>
                  </pic:blipFill>
                  <pic:spPr>
                    <a:xfrm>
                      <a:off x="0" y="0"/>
                      <a:ext cx="4791075" cy="5114925"/>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dgca.gov.in/digigov-portal/?baseLocale=en_US?page=jsp/dgca/InventoryList/dataReports/aviationDataStatistics/airTransport/domestic/airTraffic/TrafficDataMar26.pdf&amp;mainundefined" TargetMode="External"/><Relationship Id="rId5" Type="http://schemas.openxmlformats.org/officeDocument/2006/relationships/styles" Target="styles.xml"/><Relationship Id="rId6" Type="http://schemas.openxmlformats.org/officeDocument/2006/relationships/hyperlink" Target="https://www.dgca.gov.in/digigov-portal/?baseLocale=en_US?page=jsp/dgca/InventoryList/dataReports/aviationDataStatistics/airTransport/domestic/airTraffic/Traffic%20Report%20March%202021.pdf&amp;mainundefined" TargetMode="External"/><Relationship Id="rId7" Type="http://schemas.openxmlformats.org/officeDocument/2006/relationships/hyperlink" Target="https://www.dgca.gov.in/digigov-portal/?baseLocale=en_US?page=jsp/dgca/InventoryList/dataReports/aviationDataStatistics/airTransport/domestic/airTraffic/Traffic%20Report%20March%202021.pdf&amp;mainundefined" TargetMode="External"/><Relationship Id="rId8" Type="http://schemas.openxmlformats.org/officeDocument/2006/relationships/hyperlink" Target="https://www.dgca.gov.in/digigov-portal/?baseLocale=en_US?page=jsp/dgca/InventoryList/dataReports/aviationDataStatistics/airTransport/domestic/airTraffic/TrafficDataMar26.pdf&amp;mainundef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