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ind w:hanging="0" w:start="0" w:end="0"/>
        <w:jc w:val="center"/>
        <w:rPr/>
      </w:pPr>
      <w:r>
        <w:rPr/>
        <w:t>Tie-Up</w:t>
      </w:r>
    </w:p>
    <w:p>
      <w:pPr>
        <w:pStyle w:val="BodyText"/>
        <w:bidi w:val="0"/>
        <w:jc w:val="center"/>
        <w:rPr/>
      </w:pPr>
      <w:r>
        <w:rPr/>
        <w:drawing>
          <wp:inline distT="0" distB="0" distL="0" distR="0">
            <wp:extent cx="3667125" cy="1162050"/>
            <wp:effectExtent l="0" t="0" r="0" b="0"/>
            <wp:docPr id="1" name="Image1" descr="" title="Logo de Tie-Up con una cuerda entre Tie y 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Logo de Tie-Up con una cuerda entre Tie y Up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center"/>
        <w:rPr/>
      </w:pPr>
      <w:r>
        <w:rPr/>
        <w:t>Bachillerato BT Tecnologías de la Información</w:t>
        <w:br/>
        <w:t>Opción Bilingüe</w:t>
        <w:br/>
        <w:t>Instituto Tecnológico Superior Paysandú</w:t>
      </w:r>
    </w:p>
    <w:p>
      <w:pPr>
        <w:pStyle w:val="BodyText"/>
        <w:bidi w:val="0"/>
        <w:jc w:val="center"/>
        <w:rPr/>
      </w:pPr>
      <w:r>
        <w:rPr/>
        <w:t>Facundo Duarte · Joaquín Castro · Bryan Chialvo</w:t>
      </w:r>
    </w:p>
    <w:p>
      <w:pPr>
        <w:pStyle w:val="BodyText"/>
        <w:bidi w:val="0"/>
        <w:jc w:val="center"/>
        <w:rPr/>
      </w:pPr>
      <w:r>
        <w:rPr/>
        <w:t>2.º MC</w:t>
      </w:r>
    </w:p>
    <w:p>
      <w:pPr>
        <w:pStyle w:val="BodyText"/>
        <w:bidi w:val="0"/>
        <w:jc w:val="center"/>
        <w:rPr/>
      </w:pPr>
      <w:r>
        <w:rPr/>
        <w:t>Katherin Bianchi · Federico Fagúndez</w:t>
      </w:r>
    </w:p>
    <w:p>
      <w:pPr>
        <w:pStyle w:val="BodyText"/>
        <w:bidi w:val="0"/>
        <w:jc w:val="center"/>
        <w:rPr/>
      </w:pPr>
      <w:r>
        <w:rPr/>
        <w:t>Documento original: 27/07/2026</w:t>
        <w:br/>
        <w:t>Actualización de identidad: 02/10/2026</w:t>
      </w:r>
    </w:p>
    <w:p>
      <w:pPr>
        <w:pStyle w:val="Heading2page"/>
        <w:bidi w:val="0"/>
        <w:jc w:val="start"/>
        <w:rPr/>
      </w:pPr>
      <w:r>
        <w:rPr/>
        <w:t>Índice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Ideas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Introducción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Objetivos generales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Objetivos específicos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Desarrollo</w:t>
      </w:r>
    </w:p>
    <w:p>
      <w:pPr>
        <w:pStyle w:val="BodyText"/>
        <w:numPr>
          <w:ilvl w:val="1"/>
          <w:numId w:val="1"/>
        </w:numPr>
        <w:tabs>
          <w:tab w:val="clear" w:pos="1134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>Frontend</w:t>
      </w:r>
    </w:p>
    <w:p>
      <w:pPr>
        <w:pStyle w:val="BodyText"/>
        <w:numPr>
          <w:ilvl w:val="1"/>
          <w:numId w:val="1"/>
        </w:numPr>
        <w:tabs>
          <w:tab w:val="clear" w:pos="1134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>Backend</w:t>
      </w:r>
    </w:p>
    <w:p>
      <w:pPr>
        <w:pStyle w:val="BodyText"/>
        <w:numPr>
          <w:ilvl w:val="1"/>
          <w:numId w:val="1"/>
        </w:numPr>
        <w:tabs>
          <w:tab w:val="clear" w:pos="1134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>Base de datos</w:t>
      </w:r>
    </w:p>
    <w:p>
      <w:pPr>
        <w:pStyle w:val="BodyText"/>
        <w:numPr>
          <w:ilvl w:val="1"/>
          <w:numId w:val="1"/>
        </w:numPr>
        <w:tabs>
          <w:tab w:val="clear" w:pos="1134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>Integración del entorno web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Logo e identidad visual y paleta de colores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Maquetación</w:t>
      </w:r>
    </w:p>
    <w:p>
      <w:pPr>
        <w:pStyle w:val="Heading2page"/>
        <w:bidi w:val="0"/>
        <w:jc w:val="start"/>
        <w:rPr/>
      </w:pPr>
      <w:r>
        <w:rPr/>
        <w:t>Ideas</w:t>
      </w:r>
    </w:p>
    <w:p>
      <w:pPr>
        <w:pStyle w:val="BodyText"/>
        <w:bidi w:val="0"/>
        <w:jc w:val="start"/>
        <w:rPr/>
      </w:pPr>
      <w:r>
        <w:rPr/>
        <w:t>Al comenzar el proyecto, en el grupo se plantearon y analizaron diferentes posibilidades relacionadas con la prestación de servicios mediante plataformas web. Se evaluó desarrollar un sitio de compra y venta de productos digitales, un portal de empleo y una plataforma para conectar empresas con trabajadores independientes.</w:t>
      </w:r>
    </w:p>
    <w:p>
      <w:pPr>
        <w:pStyle w:val="BodyText"/>
        <w:bidi w:val="0"/>
        <w:jc w:val="start"/>
        <w:rPr/>
      </w:pPr>
      <w:r>
        <w:rPr/>
        <w:t>Finalmente se decidió desarrollar Tie-Up, una plataforma que facilita el contacto entre consumidores, empresas y profesionales digitales como diseñadores web, programadores, editores, community managers, creadores de contenido y freelancers. La idea surge de la necesidad de contar con un lugar donde encontrar profesionales confiables y comparar sus servicios de forma rápida y sencilla.</w:t>
      </w:r>
    </w:p>
    <w:p>
      <w:pPr>
        <w:pStyle w:val="Heading2page"/>
        <w:bidi w:val="0"/>
        <w:jc w:val="start"/>
        <w:rPr/>
      </w:pPr>
      <w:r>
        <w:rPr/>
        <w:t>Introducción</w:t>
      </w:r>
    </w:p>
    <w:p>
      <w:pPr>
        <w:pStyle w:val="BodyText"/>
        <w:bidi w:val="0"/>
        <w:jc w:val="start"/>
        <w:rPr/>
      </w:pPr>
      <w:r>
        <w:rPr/>
        <w:t>Tie-Up es una plataforma web diseñada para conectar personas y empresas con proveedores de servicios digitales y profesionales.</w:t>
      </w:r>
    </w:p>
    <w:p>
      <w:pPr>
        <w:pStyle w:val="BodyText"/>
        <w:bidi w:val="0"/>
        <w:jc w:val="start"/>
        <w:rPr/>
      </w:pPr>
      <w:r>
        <w:rPr/>
        <w:t>Los usuarios podrán buscar profesionales según la categoría del servicio que necesiten, visualizar sus perfiles, comparar experiencia y calificaciones, y contratar directamente al proveedor que mejor se adapte a sus necesidades.</w:t>
      </w:r>
    </w:p>
    <w:p>
      <w:pPr>
        <w:pStyle w:val="BodyText"/>
        <w:bidi w:val="0"/>
        <w:jc w:val="start"/>
        <w:rPr/>
      </w:pPr>
      <w:r>
        <w:rPr/>
        <w:t>Uno de los aspectos más importantes del sitio será su sistema de reseñas y puntuaciones, el cual permitirá a los clientes compartir su experiencia luego de contratar un servicio. Esto generará mayor confianza dentro de la plataforma y ayudará a otros usuarios a tomar mejores decisiones.</w:t>
      </w:r>
    </w:p>
    <w:p>
      <w:pPr>
        <w:pStyle w:val="BodyText"/>
        <w:bidi w:val="0"/>
        <w:jc w:val="start"/>
        <w:rPr/>
      </w:pPr>
      <w:r>
        <w:rPr/>
        <w:t>El sitio contará con diferentes secciones: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Inicio.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Categorías de servicios.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Perfil de proveedores.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Sistema de reseñas.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Registro e inicio de sesión.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Contacto.</w:t>
      </w:r>
    </w:p>
    <w:p>
      <w:pPr>
        <w:pStyle w:val="Heading2page"/>
        <w:bidi w:val="0"/>
        <w:jc w:val="start"/>
        <w:rPr/>
      </w:pPr>
      <w:r>
        <w:rPr/>
        <w:t>Objetivos generales</w:t>
      </w:r>
    </w:p>
    <w:p>
      <w:pPr>
        <w:pStyle w:val="BodyText"/>
        <w:bidi w:val="0"/>
        <w:jc w:val="start"/>
        <w:rPr/>
      </w:pPr>
      <w:r>
        <w:rPr/>
        <w:t>El objetivo principal del proyecto es desarrollar una plataforma web moderna que facilite la contratación de servicios digitales entre clientes y profesionales.</w:t>
      </w:r>
    </w:p>
    <w:p>
      <w:pPr>
        <w:pStyle w:val="BodyText"/>
        <w:bidi w:val="0"/>
        <w:jc w:val="start"/>
        <w:rPr/>
      </w:pPr>
      <w:r>
        <w:rPr/>
        <w:t>También se busca ofrecer una experiencia sencilla, rápida y segura para ambas partes, permitiendo encontrar talento especializado en pocos minutos.</w:t>
      </w:r>
    </w:p>
    <w:p>
      <w:pPr>
        <w:pStyle w:val="Heading2page"/>
        <w:bidi w:val="0"/>
        <w:jc w:val="start"/>
        <w:rPr/>
      </w:pPr>
      <w:r>
        <w:rPr/>
        <w:t>Objetivos específicos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Facilitar la búsqueda de profesionales mediante categorías y filtros.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Permitir el registro de clientes y proveedores.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Mostrar información detallada sobre cada profesional.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Implementar un sistema de calificaciones y comentarios.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Crear una interfaz moderna, intuitiva y adaptable a dispositivos móviles.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Mantener organizada la información mediante una base de datos.</w:t>
      </w:r>
    </w:p>
    <w:p>
      <w:pPr>
        <w:pStyle w:val="Heading2page"/>
        <w:bidi w:val="0"/>
        <w:jc w:val="start"/>
        <w:rPr/>
      </w:pPr>
      <w:r>
        <w:rPr/>
        <w:t>Desarrollo</w:t>
      </w:r>
    </w:p>
    <w:p>
      <w:pPr>
        <w:pStyle w:val="BodyText"/>
        <w:bidi w:val="0"/>
        <w:jc w:val="start"/>
        <w:rPr/>
      </w:pPr>
      <w:r>
        <w:rPr/>
        <w:t>El desarrollo de Tie-Up se realizará utilizando una arquitectura cliente-servidor, empleando tecnologías ampliamente utilizadas en el desarrollo web.</w:t>
      </w:r>
    </w:p>
    <w:p>
      <w:pPr>
        <w:pStyle w:val="Heading3"/>
        <w:bidi w:val="0"/>
        <w:jc w:val="start"/>
        <w:rPr/>
      </w:pPr>
      <w:r>
        <w:rPr/>
        <w:t>1. Frontend (interfaz de usuario)</w:t>
      </w:r>
    </w:p>
    <w:p>
      <w:pPr>
        <w:pStyle w:val="BodyText"/>
        <w:bidi w:val="0"/>
        <w:jc w:val="start"/>
        <w:rPr/>
      </w:pPr>
      <w:r>
        <w:rPr/>
        <w:t>Para el diseño visual y la interacción con el usuario se utilizarán: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HTML5: estructura del sitio.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CSS3: diseño responsive, animaciones y estilos.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JavaScript: validaciones, filtros de búsqueda, interacción y dinamismo.</w:t>
      </w:r>
    </w:p>
    <w:p>
      <w:pPr>
        <w:pStyle w:val="Heading3"/>
        <w:bidi w:val="0"/>
        <w:jc w:val="start"/>
        <w:rPr/>
      </w:pPr>
      <w:r>
        <w:rPr/>
        <w:t>2. Backend (lógica del servidor)</w:t>
      </w:r>
    </w:p>
    <w:p>
      <w:pPr>
        <w:pStyle w:val="BodyText"/>
        <w:bidi w:val="0"/>
        <w:jc w:val="start"/>
        <w:rPr/>
      </w:pPr>
      <w:r>
        <w:rPr/>
        <w:t>Se utilizará PHP para gestionar: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Registro de usuarios.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Inicio de sesión.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Publicación de perfiles.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Gestión de servicios.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Sistema de reseñas.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Administración de la plataforma.</w:t>
      </w:r>
    </w:p>
    <w:p>
      <w:pPr>
        <w:pStyle w:val="Heading3page"/>
        <w:bidi w:val="0"/>
        <w:jc w:val="start"/>
        <w:rPr/>
      </w:pPr>
      <w:r>
        <w:rPr/>
        <w:t>3. Base de datos</w:t>
      </w:r>
    </w:p>
    <w:p>
      <w:pPr>
        <w:pStyle w:val="BodyText"/>
        <w:bidi w:val="0"/>
        <w:jc w:val="start"/>
        <w:rPr/>
      </w:pPr>
      <w:r>
        <w:rPr/>
        <w:t>Se utilizará MySQL para almacenar: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Usuarios.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Proveedores.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Categorías.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Servicios.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Comentarios.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Calificaciones.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Contrataciones.</w:t>
      </w:r>
    </w:p>
    <w:p>
      <w:pPr>
        <w:pStyle w:val="Heading3"/>
        <w:bidi w:val="0"/>
        <w:jc w:val="start"/>
        <w:rPr/>
      </w:pPr>
      <w:r>
        <w:rPr/>
        <w:t>4. Integración del entorno web</w:t>
      </w:r>
    </w:p>
    <w:p>
      <w:pPr>
        <w:pStyle w:val="BodyText"/>
        <w:bidi w:val="0"/>
        <w:jc w:val="start"/>
        <w:rPr/>
      </w:pPr>
      <w:r>
        <w:rPr/>
        <w:t>El proyecto será desarrollado utilizando Visual Studio Code como editor principal. Se empleará XAMPP para ejecutar el servidor local durante el desarrollo y las pruebas del sistema.</w:t>
      </w:r>
    </w:p>
    <w:p>
      <w:pPr>
        <w:pStyle w:val="Heading2page"/>
        <w:bidi w:val="0"/>
        <w:jc w:val="start"/>
        <w:rPr/>
      </w:pPr>
      <w:r>
        <w:rPr/>
        <w:t>Logo e identidad visual</w:t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3667125" cy="1162050"/>
            <wp:effectExtent l="0" t="0" r="0" b="0"/>
            <wp:docPr id="2" name="Image2" descr="" title="Logo de Tie-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Logo de Tie-Up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start"/>
        <w:rPr/>
      </w:pPr>
      <w:r>
        <w:rPr/>
        <w:t>El nombre Tie-Up se relaciona con la idea de unir y establecer vínculos, representando el propósito de la plataforma: conectar a personas y empresas con profesionales que ofrecen servicios digitales.</w:t>
      </w:r>
    </w:p>
    <w:p>
      <w:pPr>
        <w:pStyle w:val="BodyText"/>
        <w:bidi w:val="0"/>
        <w:jc w:val="start"/>
        <w:rPr/>
      </w:pPr>
      <w:r>
        <w:rPr/>
        <w:t>El logotipo combina las palabras «Tie», en negro, y «Up», en verde azulado, con una tipografía de trazos gruesos. Entre ambas aparece una cuerda que refuerza visualmente la idea de unión.</w:t>
      </w:r>
    </w:p>
    <w:p>
      <w:pPr>
        <w:pStyle w:val="BodyText"/>
        <w:bidi w:val="0"/>
        <w:jc w:val="start"/>
        <w:rPr/>
      </w:pPr>
      <w:r>
        <w:rPr/>
        <w:t>El isotipo de Tie-Up es la cuerda. Este símbolo representa el vínculo entre clientes y profesionales y la colaboración que la plataforma busca facilitar. La cuerda constituye el elemento gráfico que identifica a la marca más allá de su nombre.</w:t>
      </w:r>
    </w:p>
    <w:p>
      <w:pPr>
        <w:pStyle w:val="BodyText"/>
        <w:bidi w:val="0"/>
        <w:jc w:val="start"/>
        <w:rPr/>
      </w:pPr>
      <w:r>
        <w:rPr/>
        <w:t>La combinación de negro y verde azulado establece una identidad visual sencilla y reconocible. Como propuesta de comunicación, esta identidad busca transmitir confianza, cercanía y profesionalismo.</w:t>
      </w:r>
    </w:p>
    <w:p>
      <w:pPr>
        <w:pStyle w:val="Heading3page"/>
        <w:bidi w:val="0"/>
        <w:jc w:val="start"/>
        <w:rPr/>
      </w:pPr>
      <w:r>
        <w:rPr/>
        <w:t>Paleta de colores</w:t>
      </w:r>
    </w:p>
    <w:p>
      <w:pPr>
        <w:pStyle w:val="BodyText"/>
        <w:bidi w:val="0"/>
        <w:jc w:val="start"/>
        <w:rPr/>
      </w:pPr>
      <w:r>
        <w:rPr/>
        <w:t xml:space="preserve">El verde principal de Tie-Up es </w:t>
      </w:r>
      <w:r>
        <w:rPr>
          <w:rStyle w:val="Strong"/>
        </w:rPr>
        <w:t>#306E68</w:t>
      </w:r>
      <w:r>
        <w:rPr/>
        <w:t>. Se combina con el negro presente en el logotipo. El blanco se propone como fondo neutro para facilitar la lectura de la documentación.</w:t>
      </w:r>
    </w:p>
    <w:tbl>
      <w:tblPr>
        <w:tblW w:w="5000" w:type="pct"/>
        <w:jc w:val="start"/>
        <w:tblInd w:w="-7" w:type="dxa"/>
        <w:tblLayout w:type="fixed"/>
        <w:tblCellMar>
          <w:top w:w="150" w:type="dxa"/>
          <w:start w:w="150" w:type="dxa"/>
          <w:bottom w:w="150" w:type="dxa"/>
          <w:end w:w="150" w:type="dxa"/>
        </w:tblCellMar>
      </w:tblPr>
      <w:tblGrid>
        <w:gridCol w:w="1528"/>
        <w:gridCol w:w="1266"/>
        <w:gridCol w:w="929"/>
        <w:gridCol w:w="2052"/>
      </w:tblGrid>
      <w:tr>
        <w:trPr/>
        <w:tc>
          <w:tcPr>
            <w:tcW w:w="1528" w:type="dxa"/>
            <w:tcBorders>
              <w:top w:val="single" w:sz="6" w:space="0" w:color="808080"/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Color</w:t>
            </w:r>
          </w:p>
        </w:tc>
        <w:tc>
          <w:tcPr>
            <w:tcW w:w="1266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HEX</w:t>
            </w:r>
          </w:p>
        </w:tc>
        <w:tc>
          <w:tcPr>
            <w:tcW w:w="929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RGB</w:t>
            </w:r>
          </w:p>
        </w:tc>
        <w:tc>
          <w:tcPr>
            <w:tcW w:w="2052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Uso</w:t>
            </w:r>
          </w:p>
        </w:tc>
      </w:tr>
      <w:tr>
        <w:trPr/>
        <w:tc>
          <w:tcPr>
            <w:tcW w:w="1528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shd w:fill="306E68" w:val="clear"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>
                <w:color w:val="FFFFFF"/>
              </w:rPr>
            </w:pPr>
            <w:r>
              <w:rPr>
                <w:color w:val="FFFFFF"/>
              </w:rPr>
              <w:t>Verde principal</w:t>
            </w:r>
          </w:p>
        </w:tc>
        <w:tc>
          <w:tcPr>
            <w:tcW w:w="1266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#306E68</w:t>
            </w:r>
          </w:p>
        </w:tc>
        <w:tc>
          <w:tcPr>
            <w:tcW w:w="929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48, 110, 104</w:t>
            </w:r>
          </w:p>
        </w:tc>
        <w:tc>
          <w:tcPr>
            <w:tcW w:w="2052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Identidad de marca, títulos y elementos destacados.</w:t>
            </w:r>
          </w:p>
        </w:tc>
      </w:tr>
      <w:tr>
        <w:trPr/>
        <w:tc>
          <w:tcPr>
            <w:tcW w:w="1528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shd w:fill="000000" w:val="clear"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>
                <w:color w:val="FFFFFF"/>
              </w:rPr>
            </w:pPr>
            <w:r>
              <w:rPr>
                <w:color w:val="FFFFFF"/>
              </w:rPr>
              <w:t>Negro</w:t>
            </w:r>
          </w:p>
        </w:tc>
        <w:tc>
          <w:tcPr>
            <w:tcW w:w="1266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#000000</w:t>
            </w:r>
          </w:p>
        </w:tc>
        <w:tc>
          <w:tcPr>
            <w:tcW w:w="929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0, 0, 0</w:t>
            </w:r>
          </w:p>
        </w:tc>
        <w:tc>
          <w:tcPr>
            <w:tcW w:w="2052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Texto «Tie» y detalles de la cuerda.</w:t>
            </w:r>
          </w:p>
        </w:tc>
      </w:tr>
      <w:tr>
        <w:trPr/>
        <w:tc>
          <w:tcPr>
            <w:tcW w:w="1528" w:type="dxa"/>
            <w:tcBorders>
              <w:start w:val="single" w:sz="6" w:space="0" w:color="808080"/>
              <w:bottom w:val="single" w:sz="6" w:space="0" w:color="808080"/>
              <w:end w:val="single" w:sz="6" w:space="0" w:color="808080"/>
            </w:tcBorders>
            <w:shd w:fill="FFFFFF" w:val="clear"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Blanco (neutro propuesto)</w:t>
            </w:r>
          </w:p>
        </w:tc>
        <w:tc>
          <w:tcPr>
            <w:tcW w:w="1266" w:type="dxa"/>
            <w:tcBorders>
              <w:start w:val="single" w:sz="2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#FFFFFF</w:t>
            </w:r>
          </w:p>
        </w:tc>
        <w:tc>
          <w:tcPr>
            <w:tcW w:w="929" w:type="dxa"/>
            <w:tcBorders>
              <w:start w:val="single" w:sz="2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255, 255, 255</w:t>
            </w:r>
          </w:p>
        </w:tc>
        <w:tc>
          <w:tcPr>
            <w:tcW w:w="2052" w:type="dxa"/>
            <w:tcBorders>
              <w:start w:val="single" w:sz="2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Fondos y espacios de descanso visual.</w:t>
            </w:r>
          </w:p>
        </w:tc>
      </w:tr>
    </w:tbl>
    <w:p>
      <w:pPr>
        <w:pStyle w:val="BodyText"/>
        <w:bidi w:val="0"/>
        <w:jc w:val="start"/>
        <w:rPr/>
      </w:pPr>
      <w:r>
        <w:rPr>
          <w:rStyle w:val="Emphasis"/>
        </w:rPr>
        <w:t>La imagen del logo se conserva tal como fue proporcionada. El código de referencia para reproducir el verde de la marca es #306E68.</w:t>
      </w:r>
    </w:p>
    <w:p>
      <w:pPr>
        <w:pStyle w:val="Heading2page"/>
        <w:bidi w:val="0"/>
        <w:jc w:val="start"/>
        <w:rPr/>
      </w:pPr>
      <w:r>
        <w:rPr/>
        <w:t>Maquetación</w:t>
      </w:r>
    </w:p>
    <w:p>
      <w:pPr>
        <w:pStyle w:val="BodyText"/>
        <w:bidi w:val="0"/>
        <w:jc w:val="start"/>
        <w:rPr/>
      </w:pPr>
      <w:r>
        <w:rPr/>
        <w:t>La referencia actual de diseño de Tie-Up se encuentra en Figma:</w:t>
      </w:r>
    </w:p>
    <w:p>
      <w:pPr>
        <w:pStyle w:val="BodyText"/>
        <w:bidi w:val="0"/>
        <w:jc w:val="start"/>
        <w:rPr/>
      </w:pPr>
      <w:hyperlink r:id="rId4">
        <w:r>
          <w:rPr>
            <w:rStyle w:val="Hyperlink"/>
          </w:rPr>
          <w:t>Ver la maquetación de Tie-Up en Figma</w:t>
        </w:r>
      </w:hyperlink>
    </w:p>
    <w:p>
      <w:pPr>
        <w:pStyle w:val="BodyText"/>
        <w:bidi w:val="0"/>
        <w:spacing w:before="0" w:after="283"/>
        <w:jc w:val="start"/>
        <w:rPr/>
      </w:pPr>
      <w:r>
        <w:rPr>
          <w:rStyle w:val="Emphasis"/>
        </w:rPr>
        <w:t>Pendiente de incorporar: capturas de la maquetación actual. El contenido visual del archivo de Figma no pudo verificarse durante esta actualización.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altName w:val="sans-serif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</w:pPr>
    <w:rPr>
      <w:rFonts w:ascii="Arial;sans-serif" w:hAnsi="Arial;sans-serif" w:eastAsia="Arial;sans-serif" w:cs="Arial;sans-serif"/>
      <w:color w:val="172323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306E68"/>
      <w:sz w:val="56"/>
      <w:szCs w:val="56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color w:val="306E68"/>
      <w:sz w:val="40"/>
      <w:szCs w:val="40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306E68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FollowedHyperlink">
    <w:name w:val="FollowedHyperlink"/>
    <w:rPr>
      <w:color w:val="306E68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Heading2page">
    <w:name w:val="Heading 2.page"/>
    <w:basedOn w:val="Heading2"/>
    <w:qFormat/>
    <w:pPr>
      <w:pageBreakBefore/>
      <w:ind w:hanging="0" w:start="0"/>
      <w:outlineLvl w:val="9"/>
    </w:pPr>
    <w:rPr/>
  </w:style>
  <w:style w:type="paragraph" w:styleId="Heading3page">
    <w:name w:val="Heading 3.page"/>
    <w:basedOn w:val="Heading3"/>
    <w:qFormat/>
    <w:pPr>
      <w:pageBreakBefore/>
      <w:ind w:hanging="0" w:start="0"/>
      <w:outlineLvl w:val="9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logo-tie-up.png"/><Relationship Id="rId3" Type="http://schemas.openxmlformats.org/officeDocument/2006/relationships/image" Target="media/logo-tie-up.png"/><Relationship Id="rId4" Type="http://schemas.openxmlformats.org/officeDocument/2006/relationships/hyperlink" Target="https://www.figma.com/site/lOoU7VM3FkJjD3bEpJewr8/Tie-up?node-id=0-4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Tie-Up — Documentación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