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908A" w14:textId="421A1BEB" w:rsidR="00FD2894" w:rsidRDefault="00B261F0">
      <w:pPr>
        <w:rPr>
          <w:sz w:val="44"/>
          <w:szCs w:val="44"/>
        </w:rPr>
      </w:pPr>
      <w:r w:rsidRPr="00B261F0">
        <w:rPr>
          <w:sz w:val="44"/>
          <w:szCs w:val="44"/>
        </w:rPr>
        <w:t xml:space="preserve">                           HISTORIA DE LA LOGICA</w:t>
      </w:r>
    </w:p>
    <w:p w14:paraId="6D64BB13" w14:textId="17410A7B" w:rsidR="00B261F0" w:rsidRPr="00B261F0" w:rsidRDefault="00B261F0" w:rsidP="00B261F0">
      <w:pPr>
        <w:pStyle w:val="NormalWeb"/>
        <w:shd w:val="clear" w:color="auto" w:fill="FFFFFF"/>
        <w:spacing w:before="120" w:beforeAutospacing="0" w:after="0" w:afterAutospacing="0"/>
        <w:rPr>
          <w:rFonts w:ascii="Abadi" w:hAnsi="Abadi" w:cs="Arial"/>
          <w:color w:val="202122"/>
          <w:sz w:val="28"/>
          <w:szCs w:val="28"/>
        </w:rPr>
      </w:pPr>
      <w:r w:rsidRPr="00B261F0">
        <w:rPr>
          <w:rFonts w:ascii="Abadi" w:hAnsi="Abadi" w:cs="Arial"/>
          <w:color w:val="202122"/>
          <w:sz w:val="28"/>
          <w:szCs w:val="28"/>
        </w:rPr>
        <w:t>La </w:t>
      </w:r>
      <w:r w:rsidRPr="00537E91">
        <w:rPr>
          <w:rFonts w:ascii="Abadi" w:hAnsi="Abadi" w:cs="Arial"/>
          <w:color w:val="202122"/>
          <w:sz w:val="28"/>
          <w:szCs w:val="28"/>
        </w:rPr>
        <w:t>historia de la lógica</w:t>
      </w:r>
      <w:r w:rsidRPr="00B261F0">
        <w:rPr>
          <w:rFonts w:ascii="Abadi" w:hAnsi="Abadi" w:cs="Arial"/>
          <w:color w:val="202122"/>
          <w:sz w:val="28"/>
          <w:szCs w:val="28"/>
        </w:rPr>
        <w:t> documenta el desarrollo de la</w:t>
      </w:r>
      <w:r>
        <w:rPr>
          <w:rFonts w:ascii="Abadi" w:hAnsi="Abadi" w:cs="Arial"/>
          <w:color w:val="202122"/>
          <w:sz w:val="28"/>
          <w:szCs w:val="28"/>
        </w:rPr>
        <w:t xml:space="preserve"> lógica</w:t>
      </w:r>
      <w:r w:rsidRPr="00B261F0">
        <w:rPr>
          <w:rFonts w:ascii="Abadi" w:hAnsi="Abadi" w:cs="Arial"/>
          <w:color w:val="202122"/>
          <w:sz w:val="28"/>
          <w:szCs w:val="28"/>
        </w:rPr>
        <w:t> en varias culturas y tradiciones a lo largo de la historia. Aunque muchas culturas han empleado intrincados sistemas de razonamiento, e, incluso, el pensamiento lógico estaba ya implícito en </w:t>
      </w:r>
      <w:r>
        <w:rPr>
          <w:rFonts w:ascii="Abadi" w:hAnsi="Abadi" w:cs="Arial"/>
          <w:color w:val="202122"/>
          <w:sz w:val="28"/>
          <w:szCs w:val="28"/>
        </w:rPr>
        <w:t>Babilonia</w:t>
      </w:r>
      <w:r w:rsidRPr="00B261F0">
        <w:rPr>
          <w:rFonts w:ascii="Abadi" w:hAnsi="Abadi" w:cs="Arial"/>
          <w:color w:val="202122"/>
          <w:sz w:val="28"/>
          <w:szCs w:val="28"/>
        </w:rPr>
        <w:t> en algún sentido, la lógica como análisis explícito de los métodos de razonamiento ha recibido un tratamiento sustancial solo originalmente en tres tradiciones: la </w:t>
      </w:r>
      <w:r w:rsidRPr="00B261F0">
        <w:rPr>
          <w:rFonts w:ascii="Abadi" w:eastAsiaTheme="majorEastAsia" w:hAnsi="Abadi" w:cs="Arial"/>
          <w:color w:val="202122"/>
          <w:sz w:val="28"/>
          <w:szCs w:val="28"/>
        </w:rPr>
        <w:t>Antigu</w:t>
      </w:r>
      <w:r>
        <w:rPr>
          <w:rFonts w:ascii="Abadi" w:eastAsiaTheme="majorEastAsia" w:hAnsi="Abadi" w:cs="Arial"/>
          <w:color w:val="202122"/>
          <w:sz w:val="28"/>
          <w:szCs w:val="28"/>
        </w:rPr>
        <w:t>a China</w:t>
      </w:r>
      <w:r w:rsidRPr="00B261F0">
        <w:rPr>
          <w:rFonts w:ascii="Abadi" w:hAnsi="Abadi" w:cs="Arial"/>
          <w:color w:val="202122"/>
          <w:sz w:val="28"/>
          <w:szCs w:val="28"/>
        </w:rPr>
        <w:t>, la </w:t>
      </w:r>
      <w:r>
        <w:rPr>
          <w:rFonts w:ascii="Abadi" w:hAnsi="Abadi" w:cs="Arial"/>
          <w:color w:val="202122"/>
          <w:sz w:val="28"/>
          <w:szCs w:val="28"/>
        </w:rPr>
        <w:t>Antigua India</w:t>
      </w:r>
      <w:r w:rsidRPr="00B261F0">
        <w:rPr>
          <w:rFonts w:ascii="Abadi" w:hAnsi="Abadi" w:cs="Arial"/>
          <w:color w:val="202122"/>
          <w:sz w:val="28"/>
          <w:szCs w:val="28"/>
        </w:rPr>
        <w:t xml:space="preserve"> </w:t>
      </w:r>
      <w:r w:rsidRPr="00B261F0">
        <w:rPr>
          <w:rFonts w:ascii="Abadi" w:hAnsi="Abadi" w:cs="Arial"/>
          <w:color w:val="202122"/>
          <w:sz w:val="28"/>
          <w:szCs w:val="28"/>
        </w:rPr>
        <w:t>y la </w:t>
      </w:r>
      <w:r w:rsidRPr="00B261F0">
        <w:rPr>
          <w:rFonts w:ascii="Abadi" w:hAnsi="Abadi" w:cs="Arial"/>
          <w:color w:val="202122"/>
          <w:sz w:val="28"/>
          <w:szCs w:val="28"/>
        </w:rPr>
        <w:t>Antigua Grecia</w:t>
      </w:r>
      <w:r w:rsidRPr="00B261F0">
        <w:rPr>
          <w:rFonts w:ascii="Abadi" w:hAnsi="Abadi" w:cs="Arial"/>
          <w:color w:val="202122"/>
          <w:sz w:val="28"/>
          <w:szCs w:val="28"/>
        </w:rPr>
        <w:t>.</w:t>
      </w:r>
    </w:p>
    <w:p w14:paraId="70D27A07" w14:textId="79F08276" w:rsidR="00B261F0" w:rsidRPr="00B261F0" w:rsidRDefault="00B261F0">
      <w:pPr>
        <w:rPr>
          <w:rFonts w:ascii="Abadi" w:hAnsi="Abadi"/>
          <w:sz w:val="28"/>
          <w:szCs w:val="28"/>
        </w:rPr>
      </w:pP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>La historia de la lógica es producto de la confluencia de cuatro líneas de pensamiento, que aparecen en momentos históricos diferentes:</w:t>
      </w:r>
      <w:hyperlink r:id="rId4" w:anchor="cite_note-1" w:history="1">
        <w:r w:rsidRPr="00B261F0">
          <w:rPr>
            <w:rStyle w:val="Hipervnculo"/>
            <w:rFonts w:ascii="Abadi" w:hAnsi="Abadi" w:cs="Arial"/>
            <w:color w:val="3366CC"/>
            <w:sz w:val="28"/>
            <w:szCs w:val="28"/>
            <w:shd w:val="clear" w:color="auto" w:fill="FFFFFF"/>
            <w:vertAlign w:val="superscript"/>
          </w:rPr>
          <w:t>1</w:t>
        </w:r>
      </w:hyperlink>
      <w:r w:rsidRPr="00B261F0">
        <w:rPr>
          <w:rFonts w:ascii="Arial" w:hAnsi="Arial" w:cs="Arial"/>
          <w:color w:val="202122"/>
          <w:sz w:val="28"/>
          <w:szCs w:val="28"/>
          <w:shd w:val="clear" w:color="auto" w:fill="FFFFFF"/>
        </w:rPr>
        <w:t>​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 xml:space="preserve"> La </w:t>
      </w:r>
      <w:r w:rsidRPr="00B261F0">
        <w:rPr>
          <w:rFonts w:ascii="Abadi" w:hAnsi="Abadi" w:cs="Arial"/>
          <w:sz w:val="28"/>
          <w:szCs w:val="28"/>
          <w:shd w:val="clear" w:color="auto" w:fill="FFFFFF"/>
        </w:rPr>
        <w:t>lógic</w:t>
      </w:r>
      <w:r>
        <w:rPr>
          <w:rFonts w:ascii="Abadi" w:hAnsi="Abadi" w:cs="Arial"/>
          <w:sz w:val="28"/>
          <w:szCs w:val="28"/>
          <w:shd w:val="clear" w:color="auto" w:fill="FFFFFF"/>
        </w:rPr>
        <w:t>a aristotélica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>, seguida de los aportes de los </w:t>
      </w:r>
      <w:r>
        <w:rPr>
          <w:rFonts w:ascii="Abadi" w:hAnsi="Abadi"/>
          <w:sz w:val="28"/>
          <w:szCs w:val="28"/>
        </w:rPr>
        <w:t>megáricos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 xml:space="preserve"> 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>y los </w:t>
      </w:r>
      <w:r>
        <w:rPr>
          <w:rFonts w:ascii="Abadi" w:hAnsi="Abadi"/>
          <w:sz w:val="28"/>
          <w:szCs w:val="28"/>
        </w:rPr>
        <w:t>estoicos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>. Siglos después, </w:t>
      </w:r>
      <w:r>
        <w:rPr>
          <w:rFonts w:ascii="Abadi" w:hAnsi="Abadi"/>
          <w:sz w:val="28"/>
          <w:szCs w:val="28"/>
        </w:rPr>
        <w:t>Ramon Llull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 xml:space="preserve"> 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>y </w:t>
      </w:r>
      <w:r>
        <w:rPr>
          <w:rFonts w:ascii="Abadi" w:hAnsi="Abadi"/>
          <w:sz w:val="28"/>
          <w:szCs w:val="28"/>
        </w:rPr>
        <w:t>Leibniz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 xml:space="preserve"> 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>estudiaron la posibilidad de un lenguaje único, completo y exacto para razonar. Al comienzo del siglo </w:t>
      </w:r>
      <w:r>
        <w:rPr>
          <w:rFonts w:ascii="Abadi" w:hAnsi="Abadi" w:cs="Arial"/>
          <w:smallCaps/>
          <w:color w:val="202122"/>
          <w:sz w:val="28"/>
          <w:szCs w:val="28"/>
          <w:shd w:val="clear" w:color="auto" w:fill="FFFFFF"/>
        </w:rPr>
        <w:t>XIX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 xml:space="preserve"> 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>las investigaciones en los fundamentos del </w:t>
      </w:r>
      <w:r>
        <w:rPr>
          <w:rFonts w:ascii="Abadi" w:hAnsi="Abadi"/>
          <w:sz w:val="28"/>
          <w:szCs w:val="28"/>
        </w:rPr>
        <w:t>álgebra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 xml:space="preserve"> 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>y la </w:t>
      </w:r>
      <w:r>
        <w:rPr>
          <w:rFonts w:ascii="Abadi" w:hAnsi="Abadi"/>
          <w:sz w:val="28"/>
          <w:szCs w:val="28"/>
        </w:rPr>
        <w:t>geometría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>, seguidos por el desarrollo del primer </w:t>
      </w:r>
      <w:r>
        <w:rPr>
          <w:rFonts w:ascii="Abadi" w:hAnsi="Abadi"/>
          <w:sz w:val="28"/>
          <w:szCs w:val="28"/>
        </w:rPr>
        <w:t>cálculo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 xml:space="preserve"> 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>completo por </w:t>
      </w:r>
      <w:r>
        <w:rPr>
          <w:rFonts w:ascii="Abadi" w:hAnsi="Abadi"/>
          <w:sz w:val="28"/>
          <w:szCs w:val="28"/>
        </w:rPr>
        <w:t>Frege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>. Ya en el siglo</w:t>
      </w:r>
      <w:r>
        <w:rPr>
          <w:rFonts w:ascii="Abadi" w:hAnsi="Abadi" w:cs="Arial"/>
          <w:smallCaps/>
          <w:color w:val="202122"/>
          <w:sz w:val="28"/>
          <w:szCs w:val="28"/>
          <w:shd w:val="clear" w:color="auto" w:fill="FFFFFF"/>
        </w:rPr>
        <w:t xml:space="preserve"> XX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>, </w:t>
      </w:r>
      <w:r>
        <w:rPr>
          <w:rFonts w:ascii="Abadi" w:hAnsi="Abadi"/>
          <w:sz w:val="28"/>
          <w:szCs w:val="28"/>
        </w:rPr>
        <w:t>Bertrand Russell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> y </w:t>
      </w:r>
      <w:r>
        <w:rPr>
          <w:rFonts w:ascii="Abadi" w:hAnsi="Abadi"/>
          <w:sz w:val="28"/>
          <w:szCs w:val="28"/>
        </w:rPr>
        <w:t>Whitehead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> culminaron el proceso de creación de la </w:t>
      </w:r>
      <w:r>
        <w:rPr>
          <w:rFonts w:ascii="Abadi" w:hAnsi="Abadi"/>
          <w:sz w:val="28"/>
          <w:szCs w:val="28"/>
        </w:rPr>
        <w:t>lógica matemática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>. A partir de este momento no cesarán de producirse nuevos desarrollos y de nacer </w:t>
      </w:r>
      <w:r>
        <w:rPr>
          <w:rFonts w:ascii="Abadi" w:hAnsi="Abadi"/>
          <w:sz w:val="28"/>
          <w:szCs w:val="28"/>
        </w:rPr>
        <w:t>escuelas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 xml:space="preserve"> 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>y tendencias. Otra perspectiva interesante sobre cómo abordar el estudio de la historia lógica la ofrece </w:t>
      </w:r>
      <w:r>
        <w:rPr>
          <w:rFonts w:ascii="Abadi" w:hAnsi="Abadi"/>
          <w:sz w:val="28"/>
          <w:szCs w:val="28"/>
        </w:rPr>
        <w:t>Alberto Moretti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 xml:space="preserve"> </w:t>
      </w:r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 xml:space="preserve">y que es sintetizada por Diego </w:t>
      </w:r>
      <w:proofErr w:type="spellStart"/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>Letzen</w:t>
      </w:r>
      <w:proofErr w:type="spellEnd"/>
      <w:r w:rsidRPr="00B261F0">
        <w:rPr>
          <w:rFonts w:ascii="Abadi" w:hAnsi="Abadi" w:cs="Arial"/>
          <w:color w:val="202122"/>
          <w:sz w:val="28"/>
          <w:szCs w:val="28"/>
          <w:shd w:val="clear" w:color="auto" w:fill="FFFFFF"/>
        </w:rPr>
        <w:t>.</w:t>
      </w:r>
      <w:r w:rsidRPr="00B261F0">
        <w:rPr>
          <w:rFonts w:ascii="Abadi" w:hAnsi="Abadi"/>
          <w:sz w:val="28"/>
          <w:szCs w:val="28"/>
        </w:rPr>
        <w:t xml:space="preserve"> </w:t>
      </w:r>
    </w:p>
    <w:sectPr w:rsidR="00B261F0" w:rsidRPr="00B26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F0"/>
    <w:rsid w:val="00270BC1"/>
    <w:rsid w:val="00537E91"/>
    <w:rsid w:val="00B261F0"/>
    <w:rsid w:val="00D669C3"/>
    <w:rsid w:val="00ED417F"/>
    <w:rsid w:val="00FD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22F0"/>
  <w15:chartTrackingRefBased/>
  <w15:docId w15:val="{F8927B79-BBFD-4B66-AE9D-1EF25F49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6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6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6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6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6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6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6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6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6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6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6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6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61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61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61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61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61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61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6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6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6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6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6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61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61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61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6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61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6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B261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7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Historia_de_la_l%C3%B3gi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2005</dc:creator>
  <cp:keywords/>
  <dc:description/>
  <cp:lastModifiedBy>Facu 2005</cp:lastModifiedBy>
  <cp:revision>2</cp:revision>
  <dcterms:created xsi:type="dcterms:W3CDTF">2024-02-17T23:41:00Z</dcterms:created>
  <dcterms:modified xsi:type="dcterms:W3CDTF">2024-02-17T23:41:00Z</dcterms:modified>
</cp:coreProperties>
</file>