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120"/>
        <w:jc w:val="center"/>
      </w:pPr>
      <w:r>
        <w:rPr>
          <w:b/>
          <w:bCs/>
          <w:color w:val="1F4E5F"/>
          <w:sz w:val="56"/>
          <w:szCs w:val="56"/>
        </w:rPr>
        <w:t xml:space="preserve">CAJA MISIONERA</w:t>
      </w:r>
    </w:p>
    <w:p>
      <w:pPr>
        <w:spacing w:after="160"/>
        <w:jc w:val="center"/>
      </w:pPr>
      <w:r>
        <w:rPr>
          <w:b/>
          <w:bCs/>
          <w:color w:val="555555"/>
          <w:sz w:val="32"/>
          <w:szCs w:val="32"/>
        </w:rPr>
        <w:t xml:space="preserve">DOCUMENTO DE ENTENDIMIENTO DE REQUERIMIENTOS</w:t>
      </w:r>
    </w:p>
    <w:p>
      <w:pPr>
        <w:spacing w:after="800"/>
        <w:jc w:val="center"/>
      </w:pPr>
      <w:r>
        <w:rPr>
          <w:color w:val="777777"/>
          <w:sz w:val="26"/>
          <w:szCs w:val="26"/>
        </w:rPr>
        <w:t xml:space="preserve">Sistema de Caja, Stock y Arqueo para Kermesse Escolar</w:t>
      </w:r>
    </w:p>
    <w:tbl>
      <w:tblPr>
        <w:tblW w:type="dxa" w:w="6000"/>
        <w:jc w:val="center"/>
        <w:tblBorders>
          <w:top w:val="none" w:color="FFFFFF" w:sz="0"/>
          <w:left w:val="none" w:color="FFFFFF" w:sz="0"/>
          <w:bottom w:val="none" w:color="FFFFFF" w:sz="0"/>
          <w:right w:val="none" w:color="FFFFFF" w:sz="0"/>
          <w:insideH w:val="none" w:color="FFFFFF" w:sz="0"/>
          <w:insideV w:val="none" w:color="FFFFFF" w:sz="0"/>
        </w:tblBorders>
      </w:tblPr>
      <w:tblGrid>
        <w:gridCol w:w="2200"/>
        <w:gridCol w:w="3800"/>
      </w:tblGrid>
      <w:tr>
        <w:tc>
          <w:tcPr>
            <w:tcW w:type="dxa" w:w="2200"/>
          </w:tcPr>
          <w:p>
            <w:pPr>
              <w:spacing w:after="160"/>
            </w:pPr>
            <w:r>
              <w:rPr>
                <w:b/>
                <w:bCs/>
                <w:color w:val="666666"/>
              </w:rPr>
              <w:t xml:space="preserve">Preparado para</w:t>
            </w:r>
          </w:p>
        </w:tc>
        <w:tc>
          <w:tcPr>
            <w:tcW w:type="dxa" w:w="3800"/>
          </w:tcPr>
          <w:p>
            <w:pPr>
              <w:spacing w:after="160"/>
            </w:pPr>
            <w:r>
              <w:t xml:space="preserve">Facu</w:t>
            </w:r>
          </w:p>
        </w:tc>
      </w:tr>
      <w:tr>
        <w:tc>
          <w:tcPr>
            <w:tcW w:type="dxa" w:w="2200"/>
          </w:tcPr>
          <w:p>
            <w:pPr>
              <w:spacing w:after="160"/>
            </w:pPr>
            <w:r>
              <w:rPr>
                <w:b/>
                <w:bCs/>
                <w:color w:val="666666"/>
              </w:rPr>
              <w:t xml:space="preserve">Fecha</w:t>
            </w:r>
          </w:p>
        </w:tc>
        <w:tc>
          <w:tcPr>
            <w:tcW w:type="dxa" w:w="3800"/>
          </w:tcPr>
          <w:p>
            <w:pPr>
              <w:spacing w:after="160"/>
            </w:pPr>
            <w:r>
              <w:t xml:space="preserve">21 de agosto de 2026</w:t>
            </w:r>
          </w:p>
        </w:tc>
      </w:tr>
      <w:tr>
        <w:tc>
          <w:tcPr>
            <w:tcW w:type="dxa" w:w="2200"/>
          </w:tcPr>
          <w:p>
            <w:pPr>
              <w:spacing w:after="160"/>
            </w:pPr>
            <w:r>
              <w:rPr>
                <w:b/>
                <w:bCs/>
                <w:color w:val="666666"/>
              </w:rPr>
              <w:t xml:space="preserve">Versión</w:t>
            </w:r>
          </w:p>
        </w:tc>
        <w:tc>
          <w:tcPr>
            <w:tcW w:type="dxa" w:w="3800"/>
          </w:tcPr>
          <w:p>
            <w:pPr>
              <w:spacing w:after="160"/>
            </w:pPr>
            <w:r>
              <w:t xml:space="preserve">0.1 — Borrador para revisión</w:t>
            </w:r>
          </w:p>
        </w:tc>
      </w:tr>
      <w:tr>
        <w:tc>
          <w:tcPr>
            <w:tcW w:type="dxa" w:w="2200"/>
          </w:tcPr>
          <w:p>
            <w:pPr>
              <w:spacing w:after="160"/>
            </w:pPr>
            <w:r>
              <w:rPr>
                <w:b/>
                <w:bCs/>
                <w:color w:val="666666"/>
              </w:rPr>
              <w:t xml:space="preserve">Estado</w:t>
            </w:r>
          </w:p>
        </w:tc>
        <w:tc>
          <w:tcPr>
            <w:tcW w:type="dxa" w:w="3800"/>
          </w:tcPr>
          <w:p>
            <w:pPr>
              <w:spacing w:after="160"/>
            </w:pPr>
            <w:r>
              <w:t xml:space="preserve">Contiene decisiones pendientes de confirmación (sección 7)</w:t>
            </w:r>
          </w:p>
        </w:tc>
      </w:tr>
    </w:tbl>
    <w:p>
      <w:r>
        <w:br w:type="page"/>
      </w:r>
    </w:p>
    <w:p>
      <w:pPr>
        <w:pStyle w:val="Heading1"/>
        <w:spacing w:after="160" w:before="360"/>
      </w:pPr>
      <w:r>
        <w:t xml:space="preserve">1. Objetivo del documento</w:t>
      </w:r>
    </w:p>
    <w:p>
      <w:pPr>
        <w:spacing w:after="160"/>
      </w:pPr>
      <w:r>
        <w:t xml:space="preserve">Este documento resume y organiza en un formato de referencia los requerimientos funcionales relevados para el desarrollo de una aplicación web de caja, stock y arqueo destinada al buffet de un evento. Su propósito es servir como base de entendimiento compartido antes de comenzar el desarrollo, dejando explícitas las reglas de negocio principales y señalando las decisiones de diseño que todavía necesitan confirmación.</w:t>
      </w:r>
    </w:p>
    <w:p>
      <w:pPr>
        <w:pStyle w:val="Heading1"/>
        <w:spacing w:after="160" w:before="360"/>
      </w:pPr>
      <w:r>
        <w:t xml:space="preserve">2. Resumen ejecutivo</w:t>
      </w:r>
    </w:p>
    <w:p>
      <w:pPr>
        <w:spacing w:after="160"/>
      </w:pPr>
      <w:r>
        <w:t xml:space="preserve">La aplicación es una herramienta específica para operar el buffet de un evento, accesible desde una URL en computadora, tablet o celular. Reemplaza una caja registradora tradicional por una botonera táctil de productos: cada toque registra una venta, descuenta el stock correspondiente y actualiza los totales en tiempo real, separados por método de pago (efectivo, transferencia, tarjeta, otro).</w:t>
      </w:r>
    </w:p>
    <w:p>
      <w:pPr>
        <w:spacing w:after="160"/>
      </w:pPr>
      <w:r>
        <w:t xml:space="preserve">El sistema administra el stock en una unidad base interna (por ejemplo, mililitros) aunque el producto se compre en una unidad (botellas, cajas, kilos) y se venda en otra (vasos, porciones, unidades), realizando las conversiones automáticamente y sin exponer cálculos al cajero. Permite además productos compuestos por varios componentes de stock (por ejemplo, una hamburguesa completa que descuenta pan, carne y queso a la vez).</w:t>
      </w:r>
    </w:p>
    <w:p>
      <w:pPr>
        <w:spacing w:after="160"/>
      </w:pPr>
      <w:r>
        <w:t xml:space="preserve">Durante el evento se pueden realizar cortes de caja periódicos sin perder el historial general, y anular operaciones puntuales sin borrar el registro original. Al finalizar, la aplicación permite hacer un arqueo de caja (efectivo esperado vs. contado) y un arqueo de stock (teórico vs. físico), y exportar toda la información en CSV/Excel.</w:t>
      </w:r>
    </w:p>
    <w:p>
      <w:pPr>
        <w:spacing w:after="160"/>
      </w:pPr>
      <w:r>
        <w:rPr>
          <w:b/>
          <w:bCs/>
        </w:rPr>
        <w:t xml:space="preserve">Prioridades del proyecto, en orden:</w:t>
      </w:r>
    </w:p>
    <w:p>
      <w:pPr>
        <w:pStyle w:val="ListParagraph"/>
        <w:numPr>
          <w:ilvl w:val="0"/>
          <w:numId w:val="2"/>
        </w:numPr>
        <w:spacing w:after="80"/>
      </w:pPr>
      <w:r>
        <w:t xml:space="preserve">Velocidad de uso</w:t>
      </w:r>
    </w:p>
    <w:p>
      <w:pPr>
        <w:pStyle w:val="ListParagraph"/>
        <w:numPr>
          <w:ilvl w:val="0"/>
          <w:numId w:val="2"/>
        </w:numPr>
        <w:spacing w:after="80"/>
      </w:pPr>
      <w:r>
        <w:t xml:space="preserve">Simplicidad para el cajero</w:t>
      </w:r>
    </w:p>
    <w:p>
      <w:pPr>
        <w:pStyle w:val="ListParagraph"/>
        <w:numPr>
          <w:ilvl w:val="0"/>
          <w:numId w:val="2"/>
        </w:numPr>
        <w:spacing w:after="80"/>
      </w:pPr>
      <w:r>
        <w:t xml:space="preserve">Confiabilidad y que no se pierdan datos</w:t>
      </w:r>
    </w:p>
    <w:p>
      <w:pPr>
        <w:pStyle w:val="ListParagraph"/>
        <w:numPr>
          <w:ilvl w:val="0"/>
          <w:numId w:val="2"/>
        </w:numPr>
        <w:spacing w:after="80"/>
      </w:pPr>
      <w:r>
        <w:t xml:space="preserve">Trazabilidad de todas las operaciones</w:t>
      </w:r>
    </w:p>
    <w:p>
      <w:pPr>
        <w:pStyle w:val="ListParagraph"/>
        <w:numPr>
          <w:ilvl w:val="0"/>
          <w:numId w:val="2"/>
        </w:numPr>
        <w:spacing w:after="80"/>
      </w:pPr>
      <w:r>
        <w:t xml:space="preserve">Control de stock</w:t>
      </w:r>
    </w:p>
    <w:p>
      <w:pPr>
        <w:pStyle w:val="ListParagraph"/>
        <w:numPr>
          <w:ilvl w:val="0"/>
          <w:numId w:val="2"/>
        </w:numPr>
        <w:spacing w:after="80"/>
      </w:pPr>
      <w:r>
        <w:t xml:space="preserve">Facilidad para el arqueo final</w:t>
      </w:r>
    </w:p>
    <w:p>
      <w:pPr>
        <w:pStyle w:val="ListParagraph"/>
        <w:numPr>
          <w:ilvl w:val="0"/>
          <w:numId w:val="2"/>
        </w:numPr>
        <w:spacing w:after="80"/>
      </w:pPr>
      <w:r>
        <w:t xml:space="preserve">Exportación de información</w:t>
      </w:r>
    </w:p>
    <w:p>
      <w:pPr>
        <w:pStyle w:val="Heading1"/>
        <w:spacing w:after="160" w:before="360"/>
      </w:pPr>
      <w:r>
        <w:t xml:space="preserve">3. Flujo principal de uso</w:t>
      </w:r>
    </w:p>
    <w:p>
      <w:pPr>
        <w:pStyle w:val="ListParagraph"/>
        <w:numPr>
          <w:ilvl w:val="0"/>
          <w:numId w:val="2"/>
        </w:numPr>
        <w:spacing w:after="80"/>
      </w:pPr>
      <w:r>
        <w:t xml:space="preserve">1. Abrir la URL de la aplicación</w:t>
      </w:r>
    </w:p>
    <w:p>
      <w:pPr>
        <w:pStyle w:val="ListParagraph"/>
        <w:numPr>
          <w:ilvl w:val="0"/>
          <w:numId w:val="2"/>
        </w:numPr>
        <w:spacing w:after="80"/>
      </w:pPr>
      <w:r>
        <w:t xml:space="preserve">2. Seleccionar / iniciar el evento</w:t>
      </w:r>
    </w:p>
    <w:p>
      <w:pPr>
        <w:pStyle w:val="ListParagraph"/>
        <w:numPr>
          <w:ilvl w:val="0"/>
          <w:numId w:val="2"/>
        </w:numPr>
        <w:spacing w:after="80"/>
      </w:pPr>
      <w:r>
        <w:t xml:space="preserve">3. Ingresar a la pantalla de caja</w:t>
      </w:r>
    </w:p>
    <w:p>
      <w:pPr>
        <w:pStyle w:val="ListParagraph"/>
        <w:numPr>
          <w:ilvl w:val="0"/>
          <w:numId w:val="2"/>
        </w:numPr>
        <w:spacing w:after="80"/>
      </w:pPr>
      <w:r>
        <w:t xml:space="preserve">4. Tocar un producto en la botonera</w:t>
      </w:r>
    </w:p>
    <w:p>
      <w:pPr>
        <w:pStyle w:val="ListParagraph"/>
        <w:numPr>
          <w:ilvl w:val="0"/>
          <w:numId w:val="2"/>
        </w:numPr>
        <w:spacing w:after="80"/>
      </w:pPr>
      <w:r>
        <w:t xml:space="preserve">5. Se registra la venta, se descuenta el stock correspondiente y se actualizan los totales y el estado visual del stock</w:t>
      </w:r>
    </w:p>
    <w:p>
      <w:pPr>
        <w:pStyle w:val="ListParagraph"/>
        <w:numPr>
          <w:ilvl w:val="0"/>
          <w:numId w:val="2"/>
        </w:numPr>
        <w:spacing w:after="80"/>
      </w:pPr>
      <w:r>
        <w:t xml:space="preserve">6. Se continúa vendiendo (repetición del paso anterior)</w:t>
      </w:r>
    </w:p>
    <w:p>
      <w:pPr>
        <w:pStyle w:val="ListParagraph"/>
        <w:numPr>
          <w:ilvl w:val="0"/>
          <w:numId w:val="2"/>
        </w:numPr>
        <w:spacing w:after="80"/>
      </w:pPr>
      <w:r>
        <w:t xml:space="preserve">7. Realizar un corte de caja cuando corresponda</w:t>
      </w:r>
    </w:p>
    <w:p>
      <w:pPr>
        <w:pStyle w:val="ListParagraph"/>
        <w:numPr>
          <w:ilvl w:val="0"/>
          <w:numId w:val="2"/>
        </w:numPr>
        <w:spacing w:after="80"/>
      </w:pPr>
      <w:r>
        <w:t xml:space="preserve">8. Se guarda el corte y se inicia automáticamente uno nuevo, sin perder el historial general</w:t>
      </w:r>
    </w:p>
    <w:p>
      <w:pPr>
        <w:pStyle w:val="ListParagraph"/>
        <w:numPr>
          <w:ilvl w:val="0"/>
          <w:numId w:val="2"/>
        </w:numPr>
        <w:spacing w:after="80"/>
      </w:pPr>
      <w:r>
        <w:t xml:space="preserve">9. Al finalizar el evento: realizar el arqueo de caja (efectivo esperado vs. contado) y el arqueo de stock (teórico vs. físico)</w:t>
      </w:r>
    </w:p>
    <w:p>
      <w:pPr>
        <w:pStyle w:val="ListParagraph"/>
        <w:numPr>
          <w:ilvl w:val="0"/>
          <w:numId w:val="2"/>
        </w:numPr>
        <w:spacing w:after="80"/>
      </w:pPr>
      <w:r>
        <w:t xml:space="preserve">10. Exportar toda la información del evento</w:t>
      </w:r>
    </w:p>
    <w:p>
      <w:pPr>
        <w:pStyle w:val="Heading1"/>
        <w:spacing w:after="160" w:before="360"/>
      </w:pPr>
      <w:r>
        <w:t xml:space="preserve">4. Requerimientos funcionales por módulo</w:t>
      </w:r>
    </w:p>
    <w:p>
      <w:pPr>
        <w:pStyle w:val="Heading2"/>
        <w:spacing w:after="120" w:before="260"/>
      </w:pPr>
      <w:r>
        <w:t xml:space="preserve">4.1 Pantalla principal de caja (botonera)</w:t>
      </w:r>
    </w:p>
    <w:p>
      <w:pPr>
        <w:pStyle w:val="ListParagraph"/>
        <w:numPr>
          <w:ilvl w:val="0"/>
          <w:numId w:val="2"/>
        </w:numPr>
        <w:spacing w:after="80"/>
      </w:pPr>
      <w:r>
        <w:t xml:space="preserve">Botonera grande, pensada para uso táctil, con nombre, precio, ícono/imagen y estado de stock de cada producto</w:t>
      </w:r>
    </w:p>
    <w:p>
      <w:pPr>
        <w:pStyle w:val="ListParagraph"/>
        <w:numPr>
          <w:ilvl w:val="0"/>
          <w:numId w:val="2"/>
        </w:numPr>
        <w:spacing w:after="80"/>
      </w:pPr>
      <w:r>
        <w:t xml:space="preserve">Tocar un producto registra la venta de forma inmediata, sin ventanas ni pasos intermedios</w:t>
      </w:r>
    </w:p>
    <w:p>
      <w:pPr>
        <w:pStyle w:val="ListParagraph"/>
        <w:numPr>
          <w:ilvl w:val="0"/>
          <w:numId w:val="2"/>
        </w:numPr>
        <w:spacing w:after="80"/>
      </w:pPr>
      <w:r>
        <w:t xml:space="preserve">Cada venta suma 1 unidad, actualiza el total, descuenta el stock, y registra fecha, hora, corte actual y método de pago</w:t>
      </w:r>
    </w:p>
    <w:p>
      <w:pPr>
        <w:pStyle w:val="Heading2"/>
        <w:spacing w:after="120" w:before="260"/>
      </w:pPr>
      <w:r>
        <w:t xml:space="preserve">4.2 Totales en tiempo real</w:t>
      </w:r>
    </w:p>
    <w:p>
      <w:pPr>
        <w:pStyle w:val="ListParagraph"/>
        <w:numPr>
          <w:ilvl w:val="0"/>
          <w:numId w:val="2"/>
        </w:numPr>
        <w:spacing w:after="80"/>
      </w:pPr>
      <w:r>
        <w:t xml:space="preserve">Visibles de forma permanente en la pantalla de caja: corte actual, hora, cantidad total de productos vendidos y total de dinero</w:t>
      </w:r>
    </w:p>
    <w:p>
      <w:pPr>
        <w:pStyle w:val="ListParagraph"/>
        <w:numPr>
          <w:ilvl w:val="0"/>
          <w:numId w:val="2"/>
        </w:numPr>
        <w:spacing w:after="80"/>
      </w:pPr>
      <w:r>
        <w:t xml:space="preserve">Desglose permanente por método de pago: efectivo, transferencia, tarjeta y otros</w:t>
      </w:r>
    </w:p>
    <w:p>
      <w:pPr>
        <w:pStyle w:val="Heading2"/>
        <w:spacing w:after="120" w:before="260"/>
      </w:pPr>
      <w:r>
        <w:t xml:space="preserve">4.3 Gestión de productos</w:t>
      </w:r>
    </w:p>
    <w:p>
      <w:pPr>
        <w:pStyle w:val="ListParagraph"/>
        <w:numPr>
          <w:ilvl w:val="0"/>
          <w:numId w:val="2"/>
        </w:numPr>
        <w:spacing w:after="80"/>
      </w:pPr>
      <w:r>
        <w:t xml:space="preserve">Alta y edición de productos con: nombre, precio, imagen/ícono, estado activo/inactivo</w:t>
      </w:r>
    </w:p>
    <w:p>
      <w:pPr>
        <w:pStyle w:val="ListParagraph"/>
        <w:numPr>
          <w:ilvl w:val="0"/>
          <w:numId w:val="2"/>
        </w:numPr>
        <w:spacing w:after="80"/>
      </w:pPr>
      <w:r>
        <w:t xml:space="preserve">Configuración de si el producto controla stock, su unidad de stock, cantidad inicial, unidad de venta y cantidad de stock consumida por venta</w:t>
      </w:r>
    </w:p>
    <w:p>
      <w:pPr>
        <w:pStyle w:val="ListParagraph"/>
        <w:numPr>
          <w:ilvl w:val="0"/>
          <w:numId w:val="2"/>
        </w:numPr>
        <w:spacing w:after="80"/>
      </w:pPr>
      <w:r>
        <w:t xml:space="preserve">Configuración de los 4 umbrales de stock (mucho / medio / poco / crítico) y detección de agotado</w:t>
      </w:r>
    </w:p>
    <w:p>
      <w:pPr>
        <w:pStyle w:val="Heading2"/>
        <w:spacing w:after="120" w:before="260"/>
      </w:pPr>
      <w:r>
        <w:t xml:space="preserve">4.4 Control de stock activado / desactivado</w:t>
      </w:r>
    </w:p>
    <w:p>
      <w:pPr>
        <w:pStyle w:val="ListParagraph"/>
        <w:numPr>
          <w:ilvl w:val="0"/>
          <w:numId w:val="2"/>
        </w:numPr>
        <w:spacing w:after="80"/>
      </w:pPr>
      <w:r>
        <w:t xml:space="preserve">Interruptor general, muy visible, con dos modos</w:t>
      </w:r>
    </w:p>
    <w:p>
      <w:pPr>
        <w:pStyle w:val="ListParagraph"/>
        <w:numPr>
          <w:ilvl w:val="0"/>
          <w:numId w:val="2"/>
        </w:numPr>
        <w:spacing w:after="80"/>
      </w:pPr>
      <w:r>
        <w:t xml:space="preserve">Activado: cada venta descuenta stock, no se permite vender sin stock suficiente, se impide stock negativo, y el botón de venta se bloquea cuando corresponde</w:t>
      </w:r>
    </w:p>
    <w:p>
      <w:pPr>
        <w:pStyle w:val="ListParagraph"/>
        <w:numPr>
          <w:ilvl w:val="0"/>
          <w:numId w:val="2"/>
        </w:numPr>
        <w:spacing w:after="80"/>
      </w:pPr>
      <w:r>
        <w:t xml:space="preserve">Desactivado: las ventas continúan registrándose con normalidad aunque el stock llegue a cero, sin bloquear la caja</w:t>
      </w:r>
    </w:p>
    <w:p>
      <w:pPr>
        <w:pStyle w:val="Heading2"/>
        <w:spacing w:after="120" w:before="260"/>
      </w:pPr>
      <w:r>
        <w:t xml:space="preserve">4.5 Estados visuales de stock</w:t>
      </w:r>
    </w:p>
    <w:p>
      <w:pPr>
        <w:pStyle w:val="ListParagraph"/>
        <w:numPr>
          <w:ilvl w:val="0"/>
          <w:numId w:val="2"/>
        </w:numPr>
        <w:spacing w:after="80"/>
      </w:pPr>
      <w:r>
        <w:t xml:space="preserve">Cada producto muestra un estado visual (🟢 mucho, 🟡 medio, 🟠 poco, 🔴 crítico, ⚫ agotado) además del número</w:t>
      </w:r>
    </w:p>
    <w:p>
      <w:pPr>
        <w:pStyle w:val="ListParagraph"/>
        <w:numPr>
          <w:ilvl w:val="0"/>
          <w:numId w:val="2"/>
        </w:numPr>
        <w:spacing w:after="80"/>
      </w:pPr>
      <w:r>
        <w:t xml:space="preserve">Los umbrales de cada estado son configurables por producto</w:t>
      </w:r>
    </w:p>
    <w:p>
      <w:pPr>
        <w:pStyle w:val="Heading2"/>
        <w:spacing w:after="120" w:before="260"/>
      </w:pPr>
      <w:r>
        <w:t xml:space="preserve">4.6 Stock con distintas unidades y conversión</w:t>
      </w:r>
    </w:p>
    <w:p>
      <w:pPr>
        <w:pStyle w:val="ListParagraph"/>
        <w:numPr>
          <w:ilvl w:val="0"/>
          <w:numId w:val="2"/>
        </w:numPr>
        <w:spacing w:after="80"/>
      </w:pPr>
      <w:r>
        <w:t xml:space="preserve">El stock se guarda en una unidad base (ej. mililitros) aunque se compre y se venda en otras unidades</w:t>
      </w:r>
    </w:p>
    <w:p>
      <w:pPr>
        <w:pStyle w:val="ListParagraph"/>
        <w:numPr>
          <w:ilvl w:val="0"/>
          <w:numId w:val="2"/>
        </w:numPr>
        <w:spacing w:after="80"/>
      </w:pPr>
      <w:r>
        <w:t xml:space="preserve">Ejemplo: 32 botellas de 2.250 ml equivalen a 72.000 ml de stock; cada venta de un vaso de 330 ml descuenta 330 ml del total, conservando el remanente exacto sin redondeos</w:t>
      </w:r>
    </w:p>
    <w:p>
      <w:pPr>
        <w:pStyle w:val="ListParagraph"/>
        <w:numPr>
          <w:ilvl w:val="0"/>
          <w:numId w:val="2"/>
        </w:numPr>
        <w:spacing w:after="80"/>
      </w:pPr>
      <w:r>
        <w:t xml:space="preserve">Conversiones configurables sin programar: botella → ml, litro → ml, caja → unidades, kg → gramos, unidad → unidad, u otras</w:t>
      </w:r>
    </w:p>
    <w:p>
      <w:pPr>
        <w:pStyle w:val="ListParagraph"/>
        <w:numPr>
          <w:ilvl w:val="0"/>
          <w:numId w:val="2"/>
        </w:numPr>
        <w:spacing w:after="80"/>
      </w:pPr>
      <w:r>
        <w:t xml:space="preserve">Al cajero se le muestra una cantidad aproximada y comprensible (ej. “217 vasos disponibles”), nunca el cálculo interno</w:t>
      </w:r>
    </w:p>
    <w:p>
      <w:pPr>
        <w:pStyle w:val="Heading2"/>
        <w:spacing w:after="120" w:before="260"/>
      </w:pPr>
      <w:r>
        <w:t xml:space="preserve">4.7 Productos compuestos (recetas)</w:t>
      </w:r>
    </w:p>
    <w:p>
      <w:pPr>
        <w:pStyle w:val="ListParagraph"/>
        <w:numPr>
          <w:ilvl w:val="0"/>
          <w:numId w:val="2"/>
        </w:numPr>
        <w:spacing w:after="80"/>
      </w:pPr>
      <w:r>
        <w:t xml:space="preserve">Un producto de venta puede descontar stock de varios componentes a la vez (ej. hamburguesa completa = hamburguesa + pan + queso + papas)</w:t>
      </w:r>
    </w:p>
    <w:p>
      <w:pPr>
        <w:pStyle w:val="ListParagraph"/>
        <w:numPr>
          <w:ilvl w:val="0"/>
          <w:numId w:val="2"/>
        </w:numPr>
        <w:spacing w:after="80"/>
      </w:pPr>
      <w:r>
        <w:t xml:space="preserve">Función opcional: no todos los productos necesitan estar compuestos por varios componentes</w:t>
      </w:r>
    </w:p>
    <w:p>
      <w:pPr>
        <w:pStyle w:val="ListParagraph"/>
        <w:numPr>
          <w:ilvl w:val="0"/>
          <w:numId w:val="2"/>
        </w:numPr>
        <w:spacing w:after="80"/>
      </w:pPr>
      <w:r>
        <w:t xml:space="preserve">Si falta stock de cualquiera de los componentes y el control de stock está activado, la venta se impide</w:t>
      </w:r>
    </w:p>
    <w:p>
      <w:pPr>
        <w:pStyle w:val="Heading2"/>
        <w:spacing w:after="120" w:before="260"/>
      </w:pPr>
      <w:r>
        <w:t xml:space="preserve">4.8 Métodos de pago</w:t>
      </w:r>
    </w:p>
    <w:p>
      <w:pPr>
        <w:pStyle w:val="ListParagraph"/>
        <w:numPr>
          <w:ilvl w:val="0"/>
          <w:numId w:val="2"/>
        </w:numPr>
        <w:spacing w:after="80"/>
      </w:pPr>
      <w:r>
        <w:t xml:space="preserve">Registro de efectivo, transferencia, tarjeta y otro, de forma rápida y sin enlentecer la venta</w:t>
      </w:r>
    </w:p>
    <w:p>
      <w:pPr>
        <w:pStyle w:val="ListParagraph"/>
        <w:numPr>
          <w:ilvl w:val="0"/>
          <w:numId w:val="2"/>
        </w:numPr>
        <w:spacing w:after="80"/>
      </w:pPr>
      <w:r>
        <w:t xml:space="preserve">Método de pago predeterminado configurable</w:t>
      </w:r>
    </w:p>
    <w:p>
      <w:pPr>
        <w:pStyle w:val="ListParagraph"/>
        <w:numPr>
          <w:ilvl w:val="0"/>
          <w:numId w:val="2"/>
        </w:numPr>
        <w:spacing w:after="80"/>
      </w:pPr>
      <w:r>
        <w:t xml:space="preserve">Los reportes separan siempre las ventas por método de pago</w:t>
      </w:r>
    </w:p>
    <w:p>
      <w:pPr>
        <w:pStyle w:val="Heading2"/>
        <w:spacing w:after="120" w:before="260"/>
      </w:pPr>
      <w:r>
        <w:t xml:space="preserve">4.9 Anulaciones y correcciones</w:t>
      </w:r>
    </w:p>
    <w:p>
      <w:pPr>
        <w:pStyle w:val="ListParagraph"/>
        <w:numPr>
          <w:ilvl w:val="0"/>
          <w:numId w:val="2"/>
        </w:numPr>
        <w:spacing w:after="80"/>
      </w:pPr>
      <w:r>
        <w:t xml:space="preserve">Botón de “anular última operación” y posibilidad de anular una operación específica desde el historial</w:t>
      </w:r>
    </w:p>
    <w:p>
      <w:pPr>
        <w:pStyle w:val="ListParagraph"/>
        <w:numPr>
          <w:ilvl w:val="0"/>
          <w:numId w:val="2"/>
        </w:numPr>
        <w:spacing w:after="80"/>
      </w:pPr>
      <w:r>
        <w:t xml:space="preserve">Las anulaciones no borran la venta original: quedan registradas como un movimiento aparte, identificado como anulación</w:t>
      </w:r>
    </w:p>
    <w:p>
      <w:pPr>
        <w:pStyle w:val="ListParagraph"/>
        <w:numPr>
          <w:ilvl w:val="0"/>
          <w:numId w:val="2"/>
        </w:numPr>
        <w:spacing w:after="80"/>
      </w:pPr>
      <w:r>
        <w:t xml:space="preserve">El total neto se recalcula correctamente y el stock revertido corresponde exactamente a lo vendido (incluyendo volúmenes parciales de bebidas)</w:t>
      </w:r>
    </w:p>
    <w:p>
      <w:pPr>
        <w:pStyle w:val="Heading2"/>
        <w:spacing w:after="120" w:before="260"/>
      </w:pPr>
      <w:r>
        <w:t xml:space="preserve">4.10 Cortes de caja</w:t>
      </w:r>
    </w:p>
    <w:p>
      <w:pPr>
        <w:pStyle w:val="ListParagraph"/>
        <w:numPr>
          <w:ilvl w:val="0"/>
          <w:numId w:val="2"/>
        </w:numPr>
        <w:spacing w:after="80"/>
      </w:pPr>
      <w:r>
        <w:t xml:space="preserve">Botón grande de “corte de caja” que registra fecha, hora, ventas por producto, dinero total, desglose por método de pago y stock del período</w:t>
      </w:r>
    </w:p>
    <w:p>
      <w:pPr>
        <w:pStyle w:val="ListParagraph"/>
        <w:numPr>
          <w:ilvl w:val="0"/>
          <w:numId w:val="2"/>
        </w:numPr>
        <w:spacing w:after="80"/>
      </w:pPr>
      <w:r>
        <w:t xml:space="preserve">Al cerrar un corte se inicia automáticamente uno nuevo</w:t>
      </w:r>
    </w:p>
    <w:p>
      <w:pPr>
        <w:pStyle w:val="ListParagraph"/>
        <w:numPr>
          <w:ilvl w:val="0"/>
          <w:numId w:val="2"/>
        </w:numPr>
        <w:spacing w:after="80"/>
      </w:pPr>
      <w:r>
        <w:t xml:space="preserve">Un corte nunca borra el historial general: todos los cortes anteriores quedan disponibles para consulta</w:t>
      </w:r>
    </w:p>
    <w:p>
      <w:pPr>
        <w:pStyle w:val="Heading2"/>
        <w:spacing w:after="120" w:before="260"/>
      </w:pPr>
      <w:r>
        <w:t xml:space="preserve">4.11 Historial y trazabilidad</w:t>
      </w:r>
    </w:p>
    <w:p>
      <w:pPr>
        <w:pStyle w:val="ListParagraph"/>
        <w:numPr>
          <w:ilvl w:val="0"/>
          <w:numId w:val="2"/>
        </w:numPr>
        <w:spacing w:after="80"/>
      </w:pPr>
      <w:r>
        <w:t xml:space="preserve">Pantalla de historial completo de operaciones, cada una con ID único, fecha, hora, producto, cantidad, precio en el momento, importe, método de pago, tipo de operación, corte asociado y movimiento de stock</w:t>
      </w:r>
    </w:p>
    <w:p>
      <w:pPr>
        <w:pStyle w:val="Heading2"/>
        <w:spacing w:after="120" w:before="260"/>
      </w:pPr>
      <w:r>
        <w:t xml:space="preserve">4.12 Precio histórico</w:t>
      </w:r>
    </w:p>
    <w:p>
      <w:pPr>
        <w:pStyle w:val="ListParagraph"/>
        <w:numPr>
          <w:ilvl w:val="0"/>
          <w:numId w:val="2"/>
        </w:numPr>
        <w:spacing w:after="80"/>
      </w:pPr>
      <w:r>
        <w:t xml:space="preserve">Cada operación guarda el precio vigente en el momento de la venta</w:t>
      </w:r>
    </w:p>
    <w:p>
      <w:pPr>
        <w:pStyle w:val="ListParagraph"/>
        <w:numPr>
          <w:ilvl w:val="0"/>
          <w:numId w:val="2"/>
        </w:numPr>
        <w:spacing w:after="80"/>
      </w:pPr>
      <w:r>
        <w:t xml:space="preserve">Un cambio de precio posterior no modifica retroactivamente las ventas ya registradas</w:t>
      </w:r>
    </w:p>
    <w:p>
      <w:pPr>
        <w:pStyle w:val="Heading2"/>
        <w:spacing w:after="120" w:before="260"/>
      </w:pPr>
      <w:r>
        <w:t xml:space="preserve">4.13 Reposición y ajustes de stock</w:t>
      </w:r>
    </w:p>
    <w:p>
      <w:pPr>
        <w:pStyle w:val="ListParagraph"/>
        <w:numPr>
          <w:ilvl w:val="0"/>
          <w:numId w:val="2"/>
        </w:numPr>
        <w:spacing w:after="80"/>
      </w:pPr>
      <w:r>
        <w:t xml:space="preserve">Función de “agregar stock” (reposición) que queda registrada con fecha, hora y cantidad agregada</w:t>
      </w:r>
    </w:p>
    <w:p>
      <w:pPr>
        <w:pStyle w:val="ListParagraph"/>
        <w:numPr>
          <w:ilvl w:val="0"/>
          <w:numId w:val="2"/>
        </w:numPr>
        <w:spacing w:after="80"/>
      </w:pPr>
      <w:r>
        <w:t xml:space="preserve">Función de “ajustar stock” para diferencias entre stock teórico y físico, con fecha, hora, producto, cantidad y motivo obligatorios</w:t>
      </w:r>
    </w:p>
    <w:p>
      <w:pPr>
        <w:pStyle w:val="ListParagraph"/>
        <w:numPr>
          <w:ilvl w:val="0"/>
          <w:numId w:val="2"/>
        </w:numPr>
        <w:spacing w:after="80"/>
      </w:pPr>
      <w:r>
        <w:t xml:space="preserve">El stock nunca se modifica de forma silenciosa</w:t>
      </w:r>
    </w:p>
    <w:p>
      <w:pPr>
        <w:pStyle w:val="Heading2"/>
        <w:spacing w:after="120" w:before="260"/>
      </w:pPr>
      <w:r>
        <w:t xml:space="preserve">4.14 Alertas de stock</w:t>
      </w:r>
    </w:p>
    <w:p>
      <w:pPr>
        <w:pStyle w:val="ListParagraph"/>
        <w:numPr>
          <w:ilvl w:val="0"/>
          <w:numId w:val="2"/>
        </w:numPr>
        <w:spacing w:after="80"/>
      </w:pPr>
      <w:r>
        <w:t xml:space="preserve">Aviso visual cuando un producto entra en nivel bajo o crítico</w:t>
      </w:r>
    </w:p>
    <w:p>
      <w:pPr>
        <w:pStyle w:val="ListParagraph"/>
        <w:numPr>
          <w:ilvl w:val="0"/>
          <w:numId w:val="2"/>
        </w:numPr>
        <w:spacing w:after="80"/>
      </w:pPr>
      <w:r>
        <w:t xml:space="preserve">Las alertas son informativas: no bloquean la caja ni interrumpen al cajero</w:t>
      </w:r>
    </w:p>
    <w:p>
      <w:pPr>
        <w:pStyle w:val="Heading2"/>
        <w:spacing w:after="120" w:before="260"/>
      </w:pPr>
      <w:r>
        <w:t xml:space="preserve">4.15 Arqueo de caja</w:t>
      </w:r>
    </w:p>
    <w:p>
      <w:pPr>
        <w:pStyle w:val="ListParagraph"/>
        <w:numPr>
          <w:ilvl w:val="0"/>
          <w:numId w:val="2"/>
        </w:numPr>
        <w:spacing w:after="80"/>
      </w:pPr>
      <w:r>
        <w:t xml:space="preserve">Muestra el efectivo, transferencias y tarjetas esperados según lo vendido, y su total</w:t>
      </w:r>
    </w:p>
    <w:p>
      <w:pPr>
        <w:pStyle w:val="ListParagraph"/>
        <w:numPr>
          <w:ilvl w:val="0"/>
          <w:numId w:val="2"/>
        </w:numPr>
        <w:spacing w:after="80"/>
      </w:pPr>
      <w:r>
        <w:t xml:space="preserve">Permite ingresar el efectivo contado y calcula la diferencia automáticamente</w:t>
      </w:r>
    </w:p>
    <w:p>
      <w:pPr>
        <w:pStyle w:val="ListParagraph"/>
        <w:numPr>
          <w:ilvl w:val="0"/>
          <w:numId w:val="2"/>
        </w:numPr>
        <w:spacing w:after="80"/>
      </w:pPr>
      <w:r>
        <w:t xml:space="preserve">Resultado identificado con claridad: caja exacta, faltante o sobrante</w:t>
      </w:r>
    </w:p>
    <w:p>
      <w:pPr>
        <w:pStyle w:val="Heading2"/>
        <w:spacing w:after="120" w:before="260"/>
      </w:pPr>
      <w:r>
        <w:t xml:space="preserve">4.16 Arqueo de stock</w:t>
      </w:r>
    </w:p>
    <w:p>
      <w:pPr>
        <w:pStyle w:val="ListParagraph"/>
        <w:numPr>
          <w:ilvl w:val="0"/>
          <w:numId w:val="2"/>
        </w:numPr>
        <w:spacing w:after="80"/>
      </w:pPr>
      <w:r>
        <w:t xml:space="preserve">Fórmula: stock inicial + reposiciones − consumo por ventas = stock teórico</w:t>
      </w:r>
    </w:p>
    <w:p>
      <w:pPr>
        <w:pStyle w:val="ListParagraph"/>
        <w:numPr>
          <w:ilvl w:val="0"/>
          <w:numId w:val="2"/>
        </w:numPr>
        <w:spacing w:after="80"/>
      </w:pPr>
      <w:r>
        <w:t xml:space="preserve">Permite ingresar el stock físico contado y muestra la diferencia contra el teórico, por producto</w:t>
      </w:r>
    </w:p>
    <w:p>
      <w:pPr>
        <w:pStyle w:val="Heading2"/>
        <w:spacing w:after="120" w:before="260"/>
      </w:pPr>
      <w:r>
        <w:t xml:space="preserve">4.17 Dashboard</w:t>
      </w:r>
    </w:p>
    <w:p>
      <w:pPr>
        <w:pStyle w:val="ListParagraph"/>
        <w:numPr>
          <w:ilvl w:val="0"/>
          <w:numId w:val="2"/>
        </w:numPr>
        <w:spacing w:after="80"/>
      </w:pPr>
      <w:r>
        <w:t xml:space="preserve">Resumen general del evento: total vendido, cantidad de productos vendidos (general y por producto), y totales por método de pago</w:t>
      </w:r>
    </w:p>
    <w:p>
      <w:pPr>
        <w:pStyle w:val="ListParagraph"/>
        <w:numPr>
          <w:ilvl w:val="0"/>
          <w:numId w:val="2"/>
        </w:numPr>
        <w:spacing w:after="80"/>
      </w:pPr>
      <w:r>
        <w:t xml:space="preserve">Resumen de stock agrupado por estado visual (cuántos productos en cada nivel)</w:t>
      </w:r>
    </w:p>
    <w:p>
      <w:pPr>
        <w:pStyle w:val="ListParagraph"/>
        <w:numPr>
          <w:ilvl w:val="0"/>
          <w:numId w:val="2"/>
        </w:numPr>
        <w:spacing w:after="80"/>
      </w:pPr>
      <w:r>
        <w:t xml:space="preserve">Detalle por corte: horario, ventas, cantidad de productos, total, métodos de pago, anulaciones, stock consumido, reposiciones y ajustes</w:t>
      </w:r>
    </w:p>
    <w:p>
      <w:pPr>
        <w:pStyle w:val="Heading2"/>
        <w:spacing w:after="120" w:before="260"/>
      </w:pPr>
      <w:r>
        <w:t xml:space="preserve">4.18 Exportación</w:t>
      </w:r>
    </w:p>
    <w:p>
      <w:pPr>
        <w:pStyle w:val="ListParagraph"/>
        <w:numPr>
          <w:ilvl w:val="0"/>
          <w:numId w:val="2"/>
        </w:numPr>
        <w:spacing w:after="80"/>
      </w:pPr>
      <w:r>
        <w:t xml:space="preserve">Exportación a CSV y Excel/XLSX, abribles sin problemas en Excel o Google Sheets</w:t>
      </w:r>
    </w:p>
    <w:p>
      <w:pPr>
        <w:pStyle w:val="ListParagraph"/>
        <w:numPr>
          <w:ilvl w:val="0"/>
          <w:numId w:val="2"/>
        </w:numPr>
        <w:spacing w:after="80"/>
      </w:pPr>
      <w:r>
        <w:t xml:space="preserve">Incluye: todas las operaciones, ventas por producto, ventas por corte, ventas por método de pago, historial de stock, reposiciones, ajustes, anulaciones, arqueos y resumen final del evento</w:t>
      </w:r>
    </w:p>
    <w:p>
      <w:pPr>
        <w:pStyle w:val="Heading2"/>
        <w:spacing w:after="120" w:before="260"/>
      </w:pPr>
      <w:r>
        <w:t xml:space="preserve">4.19 Funcionamiento offline y persistencia</w:t>
      </w:r>
    </w:p>
    <w:p>
      <w:pPr>
        <w:pStyle w:val="ListParagraph"/>
        <w:numPr>
          <w:ilvl w:val="0"/>
          <w:numId w:val="2"/>
        </w:numPr>
        <w:spacing w:after="80"/>
      </w:pPr>
      <w:r>
        <w:t xml:space="preserve">Prioridad muy alta: la aplicación debe seguir registrando ventas aunque se pierda momentáneamente la conexión a Internet</w:t>
      </w:r>
    </w:p>
    <w:p>
      <w:pPr>
        <w:pStyle w:val="ListParagraph"/>
        <w:numPr>
          <w:ilvl w:val="0"/>
          <w:numId w:val="2"/>
        </w:numPr>
        <w:spacing w:after="80"/>
      </w:pPr>
      <w:r>
        <w:t xml:space="preserve">Enfoque PWA: se puede cargar antes del evento, funciona sin conexión, guarda las operaciones localmente y sincroniza cuando vuelve la conexión</w:t>
      </w:r>
    </w:p>
    <w:p>
      <w:pPr>
        <w:pStyle w:val="ListParagraph"/>
        <w:numPr>
          <w:ilvl w:val="0"/>
          <w:numId w:val="2"/>
        </w:numPr>
        <w:spacing w:after="80"/>
      </w:pPr>
      <w:r>
        <w:t xml:space="preserve">Ante un conflicto entre una función secundaria y el funcionamiento offline, se prioriza siempre el funcionamiento offline</w:t>
      </w:r>
    </w:p>
    <w:p>
      <w:pPr>
        <w:pStyle w:val="ListParagraph"/>
        <w:numPr>
          <w:ilvl w:val="0"/>
          <w:numId w:val="2"/>
        </w:numPr>
        <w:spacing w:after="80"/>
      </w:pPr>
      <w:r>
        <w:t xml:space="preserve">Los datos no se pierden al recargar la página ni al cerrar y volver a abrir la aplicación</w:t>
      </w:r>
    </w:p>
    <w:p>
      <w:pPr>
        <w:pStyle w:val="Heading2"/>
        <w:spacing w:after="120" w:before="260"/>
      </w:pPr>
      <w:r>
        <w:t xml:space="preserve">4.20 Seguridad contra errores</w:t>
      </w:r>
    </w:p>
    <w:p>
      <w:pPr>
        <w:pStyle w:val="ListParagraph"/>
        <w:numPr>
          <w:ilvl w:val="0"/>
          <w:numId w:val="2"/>
        </w:numPr>
        <w:spacing w:after="80"/>
      </w:pPr>
      <w:r>
        <w:t xml:space="preserve">Ninguna acción puede borrar accidentalmente todo el evento</w:t>
      </w:r>
    </w:p>
    <w:p>
      <w:pPr>
        <w:pStyle w:val="ListParagraph"/>
        <w:numPr>
          <w:ilvl w:val="0"/>
          <w:numId w:val="2"/>
        </w:numPr>
        <w:spacing w:after="80"/>
      </w:pPr>
      <w:r>
        <w:t xml:space="preserve">Las acciones destructivas piden confirmación explícita</w:t>
      </w:r>
    </w:p>
    <w:p>
      <w:pPr>
        <w:pStyle w:val="ListParagraph"/>
        <w:numPr>
          <w:ilvl w:val="0"/>
          <w:numId w:val="2"/>
        </w:numPr>
        <w:spacing w:after="80"/>
      </w:pPr>
      <w:r>
        <w:t xml:space="preserve">Los datos históricos no se modifican nunca de forma silenciosa</w:t>
      </w:r>
    </w:p>
    <w:p>
      <w:pPr>
        <w:pStyle w:val="Heading2"/>
        <w:spacing w:after="120" w:before="260"/>
      </w:pPr>
      <w:r>
        <w:t xml:space="preserve">4.21 Usuarios y roles (arquitectura a futuro)</w:t>
      </w:r>
    </w:p>
    <w:p>
      <w:pPr>
        <w:pStyle w:val="ListParagraph"/>
        <w:numPr>
          <w:ilvl w:val="0"/>
          <w:numId w:val="2"/>
        </w:numPr>
        <w:spacing w:after="80"/>
      </w:pPr>
      <w:r>
        <w:t xml:space="preserve">Primera versión: un único usuario o “modo caja”, sin login complejo</w:t>
      </w:r>
    </w:p>
    <w:p>
      <w:pPr>
        <w:pStyle w:val="ListParagraph"/>
        <w:numPr>
          <w:ilvl w:val="0"/>
          <w:numId w:val="2"/>
        </w:numPr>
        <w:spacing w:after="80"/>
      </w:pPr>
      <w:r>
        <w:t xml:space="preserve">La arquitectura debe dejar preparado el agregado posterior de roles: cajero (botonera, total, métodos de pago, anulación, corte) y administrador (configuración, precios, stock, ajustes, historial, exportaciones, arqueos)</w:t>
      </w:r>
    </w:p>
    <w:p>
      <w:pPr>
        <w:pStyle w:val="Heading2"/>
        <w:spacing w:after="120" w:before="260"/>
      </w:pPr>
      <w:r>
        <w:t xml:space="preserve">4.22 Configuración del evento</w:t>
      </w:r>
    </w:p>
    <w:p>
      <w:pPr>
        <w:pStyle w:val="ListParagraph"/>
        <w:numPr>
          <w:ilvl w:val="0"/>
          <w:numId w:val="2"/>
        </w:numPr>
        <w:spacing w:after="80"/>
      </w:pPr>
      <w:r>
        <w:t xml:space="preserve">Sección para definir nombre del evento, fecha y moneda</w:t>
      </w:r>
    </w:p>
    <w:p>
      <w:pPr>
        <w:pStyle w:val="ListParagraph"/>
        <w:numPr>
          <w:ilvl w:val="0"/>
          <w:numId w:val="2"/>
        </w:numPr>
        <w:spacing w:after="80"/>
      </w:pPr>
      <w:r>
        <w:t xml:space="preserve">Alta de productos, precios, stock inicial, unidades, conversiones y niveles de stock</w:t>
      </w:r>
    </w:p>
    <w:p>
      <w:pPr>
        <w:pStyle w:val="ListParagraph"/>
        <w:numPr>
          <w:ilvl w:val="0"/>
          <w:numId w:val="2"/>
        </w:numPr>
        <w:spacing w:after="80"/>
      </w:pPr>
      <w:r>
        <w:t xml:space="preserve">Configuración de los métodos de pago disponibles</w:t>
      </w:r>
    </w:p>
    <w:p>
      <w:pPr>
        <w:pStyle w:val="Heading2"/>
        <w:spacing w:after="120" w:before="260"/>
      </w:pPr>
      <w:r>
        <w:t xml:space="preserve">4.23 Diseño y experiencia de uso</w:t>
      </w:r>
    </w:p>
    <w:p>
      <w:pPr>
        <w:pStyle w:val="ListParagraph"/>
        <w:numPr>
          <w:ilvl w:val="0"/>
          <w:numId w:val="2"/>
        </w:numPr>
        <w:spacing w:after="80"/>
      </w:pPr>
      <w:r>
        <w:t xml:space="preserve">Diseño moderno, limpio y extremadamente simple, funcional en computadora, tablet y celular</w:t>
      </w:r>
    </w:p>
    <w:p>
      <w:pPr>
        <w:pStyle w:val="ListParagraph"/>
        <w:numPr>
          <w:ilvl w:val="0"/>
          <w:numId w:val="2"/>
        </w:numPr>
        <w:spacing w:after="80"/>
      </w:pPr>
      <w:r>
        <w:t xml:space="preserve">Botones de producto grandes, pensados para registrar muchas ventas rápido</w:t>
      </w:r>
    </w:p>
    <w:p>
      <w:pPr>
        <w:pStyle w:val="ListParagraph"/>
        <w:numPr>
          <w:ilvl w:val="0"/>
          <w:numId w:val="2"/>
        </w:numPr>
        <w:spacing w:after="80"/>
      </w:pPr>
      <w:r>
        <w:t xml:space="preserve">Sin animaciones ni menús innecesarios; la operación normal es “tocar producto → venta registrada”, sin navegar entre pantallas</w:t>
      </w:r>
    </w:p>
    <w:p>
      <w:pPr>
        <w:pStyle w:val="Heading1"/>
        <w:spacing w:after="160" w:before="360"/>
      </w:pPr>
      <w:r>
        <w:t xml:space="preserve">5. Reglas de negocio clave</w:t>
      </w:r>
    </w:p>
    <w:p>
      <w:pPr>
        <w:spacing w:after="160"/>
      </w:pPr>
      <w:r>
        <w:t xml:space="preserve">Estas reglas atraviesan varios módulos y son las que más impactan en el diseño técnico:</w:t>
      </w:r>
    </w:p>
    <w:p>
      <w:pPr>
        <w:pStyle w:val="ListParagraph"/>
        <w:numPr>
          <w:ilvl w:val="0"/>
          <w:numId w:val="2"/>
        </w:numPr>
        <w:spacing w:after="80"/>
      </w:pPr>
      <w:r>
        <w:t xml:space="preserve">El stock siempre se administra internamente en una unidad base exacta (ej. mililitros o gramos), independientemente de en qué unidad se compra o se vende el producto</w:t>
      </w:r>
    </w:p>
    <w:p>
      <w:pPr>
        <w:pStyle w:val="ListParagraph"/>
        <w:numPr>
          <w:ilvl w:val="0"/>
          <w:numId w:val="2"/>
        </w:numPr>
        <w:spacing w:after="80"/>
      </w:pPr>
      <w:r>
        <w:t xml:space="preserve">Una sola venta puede descontar stock de varios componentes distintos a la vez (recetas / productos compuestos)</w:t>
      </w:r>
    </w:p>
    <w:p>
      <w:pPr>
        <w:pStyle w:val="ListParagraph"/>
        <w:numPr>
          <w:ilvl w:val="0"/>
          <w:numId w:val="2"/>
        </w:numPr>
        <w:spacing w:after="80"/>
      </w:pPr>
      <w:r>
        <w:t xml:space="preserve">Ninguna anulación, corte o ajuste borra físicamente un registro anterior: todo se conserva y se identifica por tipo de movimiento</w:t>
      </w:r>
    </w:p>
    <w:p>
      <w:pPr>
        <w:pStyle w:val="ListParagraph"/>
        <w:numPr>
          <w:ilvl w:val="0"/>
          <w:numId w:val="2"/>
        </w:numPr>
        <w:spacing w:after="80"/>
      </w:pPr>
      <w:r>
        <w:t xml:space="preserve">El precio de cada venta queda fijado al momento de la operación; los cambios de precio futuros no la afectan</w:t>
      </w:r>
    </w:p>
    <w:p>
      <w:pPr>
        <w:pStyle w:val="ListParagraph"/>
        <w:numPr>
          <w:ilvl w:val="0"/>
          <w:numId w:val="2"/>
        </w:numPr>
        <w:spacing w:after="80"/>
      </w:pPr>
      <w:r>
        <w:t xml:space="preserve">Un corte cierra un período de reporte pero nunca elimina el historial general del evento</w:t>
      </w:r>
    </w:p>
    <w:p>
      <w:pPr>
        <w:pStyle w:val="Heading1"/>
        <w:spacing w:after="160" w:before="360"/>
      </w:pPr>
      <w:r>
        <w:t xml:space="preserve">6. Prioridad de desarrollo</w:t>
      </w:r>
    </w:p>
    <w:p>
      <w:pPr>
        <w:spacing w:after="160"/>
      </w:pPr>
      <w:r>
        <w:t xml:space="preserve">Orden definido para el caso de que alguna función resulte demasiado compleja para la primera versión. La arquitectura debe quedar preparada para todas las funciones, aunque se implementen de forma incremental en este orden: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4E5F" w:val="clear"/>
            <w:tcMar>
              <w:top w:type="dxa" w:w="100"/>
              <w:left w:type="dxa" w:w="120"/>
              <w:bottom w:type="dxa" w:w="100"/>
              <w:right w:type="dxa" w:w="120"/>
            </w:tcMar>
          </w:tcPr>
          <w:p>
            <w:r>
              <w:rPr>
                <w:b/>
                <w:bCs/>
                <w:color w:val="FFFFFF"/>
                <w:sz w:val="20"/>
                <w:szCs w:val="20"/>
              </w:rPr>
              <w:t xml:space="preserve">Orden</w:t>
            </w:r>
          </w:p>
        </w:tc>
        <w:tc>
          <w:tcPr>
            <w:tcW w:type="dxa" w:w="7950"/>
            <w:shd w:fill="1F4E5F" w:val="clear"/>
            <w:tcMar>
              <w:top w:type="dxa" w:w="100"/>
              <w:left w:type="dxa" w:w="120"/>
              <w:bottom w:type="dxa" w:w="100"/>
              <w:right w:type="dxa" w:w="120"/>
            </w:tcMar>
          </w:tcPr>
          <w:p>
            <w:r>
              <w:rPr>
                <w:b/>
                <w:bCs/>
                <w:color w:val="FFFFFF"/>
                <w:sz w:val="20"/>
                <w:szCs w:val="20"/>
              </w:rPr>
              <w:t xml:space="preserve">Función</w:t>
            </w:r>
          </w:p>
        </w:tc>
      </w:tr>
      <w:tr>
        <w:tc>
          <w:tcPr>
            <w:tcW w:type="dxa" w:w="1400"/>
            <w:tcMar>
              <w:top w:type="dxa" w:w="100"/>
              <w:left w:type="dxa" w:w="120"/>
              <w:bottom w:type="dxa" w:w="100"/>
              <w:right w:type="dxa" w:w="120"/>
            </w:tcMar>
          </w:tcPr>
          <w:p>
            <w:r>
              <w:rPr>
                <w:b w:val="false"/>
                <w:bCs w:val="false"/>
                <w:sz w:val="20"/>
                <w:szCs w:val="20"/>
              </w:rPr>
              <w:t xml:space="preserve">1</w:t>
            </w:r>
          </w:p>
        </w:tc>
        <w:tc>
          <w:tcPr>
            <w:tcW w:type="dxa" w:w="7950"/>
            <w:tcMar>
              <w:top w:type="dxa" w:w="100"/>
              <w:left w:type="dxa" w:w="120"/>
              <w:bottom w:type="dxa" w:w="100"/>
              <w:right w:type="dxa" w:w="120"/>
            </w:tcMar>
          </w:tcPr>
          <w:p>
            <w:r>
              <w:rPr>
                <w:b w:val="false"/>
                <w:bCs w:val="false"/>
                <w:sz w:val="20"/>
                <w:szCs w:val="20"/>
              </w:rPr>
              <w:t xml:space="preserve">Botonera de caja</w:t>
            </w:r>
          </w:p>
        </w:tc>
      </w:tr>
      <w:tr>
        <w:tc>
          <w:tcPr>
            <w:tcW w:type="dxa" w:w="1400"/>
            <w:tcMar>
              <w:top w:type="dxa" w:w="100"/>
              <w:left w:type="dxa" w:w="120"/>
              <w:bottom w:type="dxa" w:w="100"/>
              <w:right w:type="dxa" w:w="120"/>
            </w:tcMar>
          </w:tcPr>
          <w:p>
            <w:r>
              <w:rPr>
                <w:b w:val="false"/>
                <w:bCs w:val="false"/>
                <w:sz w:val="20"/>
                <w:szCs w:val="20"/>
              </w:rPr>
              <w:t xml:space="preserve">2</w:t>
            </w:r>
          </w:p>
        </w:tc>
        <w:tc>
          <w:tcPr>
            <w:tcW w:type="dxa" w:w="7950"/>
            <w:tcMar>
              <w:top w:type="dxa" w:w="100"/>
              <w:left w:type="dxa" w:w="120"/>
              <w:bottom w:type="dxa" w:w="100"/>
              <w:right w:type="dxa" w:w="120"/>
            </w:tcMar>
          </w:tcPr>
          <w:p>
            <w:r>
              <w:rPr>
                <w:b w:val="false"/>
                <w:bCs w:val="false"/>
                <w:sz w:val="20"/>
                <w:szCs w:val="20"/>
              </w:rPr>
              <w:t xml:space="preserve">Registro de ventas</w:t>
            </w:r>
          </w:p>
        </w:tc>
      </w:tr>
      <w:tr>
        <w:tc>
          <w:tcPr>
            <w:tcW w:type="dxa" w:w="1400"/>
            <w:tcMar>
              <w:top w:type="dxa" w:w="100"/>
              <w:left w:type="dxa" w:w="120"/>
              <w:bottom w:type="dxa" w:w="100"/>
              <w:right w:type="dxa" w:w="120"/>
            </w:tcMar>
          </w:tcPr>
          <w:p>
            <w:r>
              <w:rPr>
                <w:b w:val="false"/>
                <w:bCs w:val="false"/>
                <w:sz w:val="20"/>
                <w:szCs w:val="20"/>
              </w:rPr>
              <w:t xml:space="preserve">3</w:t>
            </w:r>
          </w:p>
        </w:tc>
        <w:tc>
          <w:tcPr>
            <w:tcW w:type="dxa" w:w="7950"/>
            <w:tcMar>
              <w:top w:type="dxa" w:w="100"/>
              <w:left w:type="dxa" w:w="120"/>
              <w:bottom w:type="dxa" w:w="100"/>
              <w:right w:type="dxa" w:w="120"/>
            </w:tcMar>
          </w:tcPr>
          <w:p>
            <w:r>
              <w:rPr>
                <w:b w:val="false"/>
                <w:bCs w:val="false"/>
                <w:sz w:val="20"/>
                <w:szCs w:val="20"/>
              </w:rPr>
              <w:t xml:space="preserve">Precios</w:t>
            </w:r>
          </w:p>
        </w:tc>
      </w:tr>
      <w:tr>
        <w:tc>
          <w:tcPr>
            <w:tcW w:type="dxa" w:w="1400"/>
            <w:tcMar>
              <w:top w:type="dxa" w:w="100"/>
              <w:left w:type="dxa" w:w="120"/>
              <w:bottom w:type="dxa" w:w="100"/>
              <w:right w:type="dxa" w:w="120"/>
            </w:tcMar>
          </w:tcPr>
          <w:p>
            <w:r>
              <w:rPr>
                <w:b w:val="false"/>
                <w:bCs w:val="false"/>
                <w:sz w:val="20"/>
                <w:szCs w:val="20"/>
              </w:rPr>
              <w:t xml:space="preserve">4</w:t>
            </w:r>
          </w:p>
        </w:tc>
        <w:tc>
          <w:tcPr>
            <w:tcW w:type="dxa" w:w="7950"/>
            <w:tcMar>
              <w:top w:type="dxa" w:w="100"/>
              <w:left w:type="dxa" w:w="120"/>
              <w:bottom w:type="dxa" w:w="100"/>
              <w:right w:type="dxa" w:w="120"/>
            </w:tcMar>
          </w:tcPr>
          <w:p>
            <w:r>
              <w:rPr>
                <w:b w:val="false"/>
                <w:bCs w:val="false"/>
                <w:sz w:val="20"/>
                <w:szCs w:val="20"/>
              </w:rPr>
              <w:t xml:space="preserve">Métodos de pago</w:t>
            </w:r>
          </w:p>
        </w:tc>
      </w:tr>
      <w:tr>
        <w:tc>
          <w:tcPr>
            <w:tcW w:type="dxa" w:w="1400"/>
            <w:tcMar>
              <w:top w:type="dxa" w:w="100"/>
              <w:left w:type="dxa" w:w="120"/>
              <w:bottom w:type="dxa" w:w="100"/>
              <w:right w:type="dxa" w:w="120"/>
            </w:tcMar>
          </w:tcPr>
          <w:p>
            <w:r>
              <w:rPr>
                <w:b w:val="false"/>
                <w:bCs w:val="false"/>
                <w:sz w:val="20"/>
                <w:szCs w:val="20"/>
              </w:rPr>
              <w:t xml:space="preserve">5</w:t>
            </w:r>
          </w:p>
        </w:tc>
        <w:tc>
          <w:tcPr>
            <w:tcW w:type="dxa" w:w="7950"/>
            <w:tcMar>
              <w:top w:type="dxa" w:w="100"/>
              <w:left w:type="dxa" w:w="120"/>
              <w:bottom w:type="dxa" w:w="100"/>
              <w:right w:type="dxa" w:w="120"/>
            </w:tcMar>
          </w:tcPr>
          <w:p>
            <w:r>
              <w:rPr>
                <w:b w:val="false"/>
                <w:bCs w:val="false"/>
                <w:sz w:val="20"/>
                <w:szCs w:val="20"/>
              </w:rPr>
              <w:t xml:space="preserve">Stock</w:t>
            </w:r>
          </w:p>
        </w:tc>
      </w:tr>
      <w:tr>
        <w:tc>
          <w:tcPr>
            <w:tcW w:type="dxa" w:w="1400"/>
            <w:tcMar>
              <w:top w:type="dxa" w:w="100"/>
              <w:left w:type="dxa" w:w="120"/>
              <w:bottom w:type="dxa" w:w="100"/>
              <w:right w:type="dxa" w:w="120"/>
            </w:tcMar>
          </w:tcPr>
          <w:p>
            <w:r>
              <w:rPr>
                <w:b w:val="false"/>
                <w:bCs w:val="false"/>
                <w:sz w:val="20"/>
                <w:szCs w:val="20"/>
              </w:rPr>
              <w:t xml:space="preserve">6</w:t>
            </w:r>
          </w:p>
        </w:tc>
        <w:tc>
          <w:tcPr>
            <w:tcW w:type="dxa" w:w="7950"/>
            <w:tcMar>
              <w:top w:type="dxa" w:w="100"/>
              <w:left w:type="dxa" w:w="120"/>
              <w:bottom w:type="dxa" w:w="100"/>
              <w:right w:type="dxa" w:w="120"/>
            </w:tcMar>
          </w:tcPr>
          <w:p>
            <w:r>
              <w:rPr>
                <w:b w:val="false"/>
                <w:bCs w:val="false"/>
                <w:sz w:val="20"/>
                <w:szCs w:val="20"/>
              </w:rPr>
              <w:t xml:space="preserve">Conversión de unidades</w:t>
            </w:r>
          </w:p>
        </w:tc>
      </w:tr>
      <w:tr>
        <w:tc>
          <w:tcPr>
            <w:tcW w:type="dxa" w:w="1400"/>
            <w:tcMar>
              <w:top w:type="dxa" w:w="100"/>
              <w:left w:type="dxa" w:w="120"/>
              <w:bottom w:type="dxa" w:w="100"/>
              <w:right w:type="dxa" w:w="120"/>
            </w:tcMar>
          </w:tcPr>
          <w:p>
            <w:r>
              <w:rPr>
                <w:b w:val="false"/>
                <w:bCs w:val="false"/>
                <w:sz w:val="20"/>
                <w:szCs w:val="20"/>
              </w:rPr>
              <w:t xml:space="preserve">7</w:t>
            </w:r>
          </w:p>
        </w:tc>
        <w:tc>
          <w:tcPr>
            <w:tcW w:type="dxa" w:w="7950"/>
            <w:tcMar>
              <w:top w:type="dxa" w:w="100"/>
              <w:left w:type="dxa" w:w="120"/>
              <w:bottom w:type="dxa" w:w="100"/>
              <w:right w:type="dxa" w:w="120"/>
            </w:tcMar>
          </w:tcPr>
          <w:p>
            <w:r>
              <w:rPr>
                <w:b w:val="false"/>
                <w:bCs w:val="false"/>
                <w:sz w:val="20"/>
                <w:szCs w:val="20"/>
              </w:rPr>
              <w:t xml:space="preserve">Anulaciones</w:t>
            </w:r>
          </w:p>
        </w:tc>
      </w:tr>
      <w:tr>
        <w:tc>
          <w:tcPr>
            <w:tcW w:type="dxa" w:w="1400"/>
            <w:tcMar>
              <w:top w:type="dxa" w:w="100"/>
              <w:left w:type="dxa" w:w="120"/>
              <w:bottom w:type="dxa" w:w="100"/>
              <w:right w:type="dxa" w:w="120"/>
            </w:tcMar>
          </w:tcPr>
          <w:p>
            <w:r>
              <w:rPr>
                <w:b w:val="false"/>
                <w:bCs w:val="false"/>
                <w:sz w:val="20"/>
                <w:szCs w:val="20"/>
              </w:rPr>
              <w:t xml:space="preserve">8</w:t>
            </w:r>
          </w:p>
        </w:tc>
        <w:tc>
          <w:tcPr>
            <w:tcW w:type="dxa" w:w="7950"/>
            <w:tcMar>
              <w:top w:type="dxa" w:w="100"/>
              <w:left w:type="dxa" w:w="120"/>
              <w:bottom w:type="dxa" w:w="100"/>
              <w:right w:type="dxa" w:w="120"/>
            </w:tcMar>
          </w:tcPr>
          <w:p>
            <w:r>
              <w:rPr>
                <w:b w:val="false"/>
                <w:bCs w:val="false"/>
                <w:sz w:val="20"/>
                <w:szCs w:val="20"/>
              </w:rPr>
              <w:t xml:space="preserve">Cortes</w:t>
            </w:r>
          </w:p>
        </w:tc>
      </w:tr>
      <w:tr>
        <w:tc>
          <w:tcPr>
            <w:tcW w:type="dxa" w:w="1400"/>
            <w:tcMar>
              <w:top w:type="dxa" w:w="100"/>
              <w:left w:type="dxa" w:w="120"/>
              <w:bottom w:type="dxa" w:w="100"/>
              <w:right w:type="dxa" w:w="120"/>
            </w:tcMar>
          </w:tcPr>
          <w:p>
            <w:r>
              <w:rPr>
                <w:b w:val="false"/>
                <w:bCs w:val="false"/>
                <w:sz w:val="20"/>
                <w:szCs w:val="20"/>
              </w:rPr>
              <w:t xml:space="preserve">9</w:t>
            </w:r>
          </w:p>
        </w:tc>
        <w:tc>
          <w:tcPr>
            <w:tcW w:type="dxa" w:w="7950"/>
            <w:tcMar>
              <w:top w:type="dxa" w:w="100"/>
              <w:left w:type="dxa" w:w="120"/>
              <w:bottom w:type="dxa" w:w="100"/>
              <w:right w:type="dxa" w:w="120"/>
            </w:tcMar>
          </w:tcPr>
          <w:p>
            <w:r>
              <w:rPr>
                <w:b w:val="false"/>
                <w:bCs w:val="false"/>
                <w:sz w:val="20"/>
                <w:szCs w:val="20"/>
              </w:rPr>
              <w:t xml:space="preserve">Arqueo de caja</w:t>
            </w:r>
          </w:p>
        </w:tc>
      </w:tr>
      <w:tr>
        <w:tc>
          <w:tcPr>
            <w:tcW w:type="dxa" w:w="1400"/>
            <w:tcMar>
              <w:top w:type="dxa" w:w="100"/>
              <w:left w:type="dxa" w:w="120"/>
              <w:bottom w:type="dxa" w:w="100"/>
              <w:right w:type="dxa" w:w="120"/>
            </w:tcMar>
          </w:tcPr>
          <w:p>
            <w:r>
              <w:rPr>
                <w:b w:val="false"/>
                <w:bCs w:val="false"/>
                <w:sz w:val="20"/>
                <w:szCs w:val="20"/>
              </w:rPr>
              <w:t xml:space="preserve">10</w:t>
            </w:r>
          </w:p>
        </w:tc>
        <w:tc>
          <w:tcPr>
            <w:tcW w:type="dxa" w:w="7950"/>
            <w:tcMar>
              <w:top w:type="dxa" w:w="100"/>
              <w:left w:type="dxa" w:w="120"/>
              <w:bottom w:type="dxa" w:w="100"/>
              <w:right w:type="dxa" w:w="120"/>
            </w:tcMar>
          </w:tcPr>
          <w:p>
            <w:r>
              <w:rPr>
                <w:b w:val="false"/>
                <w:bCs w:val="false"/>
                <w:sz w:val="20"/>
                <w:szCs w:val="20"/>
              </w:rPr>
              <w:t xml:space="preserve">Exportación</w:t>
            </w:r>
          </w:p>
        </w:tc>
      </w:tr>
      <w:tr>
        <w:tc>
          <w:tcPr>
            <w:tcW w:type="dxa" w:w="1400"/>
            <w:tcMar>
              <w:top w:type="dxa" w:w="100"/>
              <w:left w:type="dxa" w:w="120"/>
              <w:bottom w:type="dxa" w:w="100"/>
              <w:right w:type="dxa" w:w="120"/>
            </w:tcMar>
          </w:tcPr>
          <w:p>
            <w:r>
              <w:rPr>
                <w:b w:val="false"/>
                <w:bCs w:val="false"/>
                <w:sz w:val="20"/>
                <w:szCs w:val="20"/>
              </w:rPr>
              <w:t xml:space="preserve">11</w:t>
            </w:r>
          </w:p>
        </w:tc>
        <w:tc>
          <w:tcPr>
            <w:tcW w:type="dxa" w:w="7950"/>
            <w:tcMar>
              <w:top w:type="dxa" w:w="100"/>
              <w:left w:type="dxa" w:w="120"/>
              <w:bottom w:type="dxa" w:w="100"/>
              <w:right w:type="dxa" w:w="120"/>
            </w:tcMar>
          </w:tcPr>
          <w:p>
            <w:r>
              <w:rPr>
                <w:b w:val="false"/>
                <w:bCs w:val="false"/>
                <w:sz w:val="20"/>
                <w:szCs w:val="20"/>
              </w:rPr>
              <w:t xml:space="preserve">Funcionamiento offline</w:t>
            </w:r>
          </w:p>
        </w:tc>
      </w:tr>
      <w:tr>
        <w:tc>
          <w:tcPr>
            <w:tcW w:type="dxa" w:w="1400"/>
            <w:tcMar>
              <w:top w:type="dxa" w:w="100"/>
              <w:left w:type="dxa" w:w="120"/>
              <w:bottom w:type="dxa" w:w="100"/>
              <w:right w:type="dxa" w:w="120"/>
            </w:tcMar>
          </w:tcPr>
          <w:p>
            <w:r>
              <w:rPr>
                <w:b w:val="false"/>
                <w:bCs w:val="false"/>
                <w:sz w:val="20"/>
                <w:szCs w:val="20"/>
              </w:rPr>
              <w:t xml:space="preserve">12</w:t>
            </w:r>
          </w:p>
        </w:tc>
        <w:tc>
          <w:tcPr>
            <w:tcW w:type="dxa" w:w="7950"/>
            <w:tcMar>
              <w:top w:type="dxa" w:w="100"/>
              <w:left w:type="dxa" w:w="120"/>
              <w:bottom w:type="dxa" w:w="100"/>
              <w:right w:type="dxa" w:w="120"/>
            </w:tcMar>
          </w:tcPr>
          <w:p>
            <w:r>
              <w:rPr>
                <w:b w:val="false"/>
                <w:bCs w:val="false"/>
                <w:sz w:val="20"/>
                <w:szCs w:val="20"/>
              </w:rPr>
              <w:t xml:space="preserve">Productos compuestos</w:t>
            </w:r>
          </w:p>
        </w:tc>
      </w:tr>
      <w:tr>
        <w:tc>
          <w:tcPr>
            <w:tcW w:type="dxa" w:w="1400"/>
            <w:tcMar>
              <w:top w:type="dxa" w:w="100"/>
              <w:left w:type="dxa" w:w="120"/>
              <w:bottom w:type="dxa" w:w="100"/>
              <w:right w:type="dxa" w:w="120"/>
            </w:tcMar>
          </w:tcPr>
          <w:p>
            <w:r>
              <w:rPr>
                <w:b w:val="false"/>
                <w:bCs w:val="false"/>
                <w:sz w:val="20"/>
                <w:szCs w:val="20"/>
              </w:rPr>
              <w:t xml:space="preserve">13</w:t>
            </w:r>
          </w:p>
        </w:tc>
        <w:tc>
          <w:tcPr>
            <w:tcW w:type="dxa" w:w="7950"/>
            <w:tcMar>
              <w:top w:type="dxa" w:w="100"/>
              <w:left w:type="dxa" w:w="120"/>
              <w:bottom w:type="dxa" w:w="100"/>
              <w:right w:type="dxa" w:w="120"/>
            </w:tcMar>
          </w:tcPr>
          <w:p>
            <w:r>
              <w:rPr>
                <w:b w:val="false"/>
                <w:bCs w:val="false"/>
                <w:sz w:val="20"/>
                <w:szCs w:val="20"/>
              </w:rPr>
              <w:t xml:space="preserve">Dashboard avanzado</w:t>
            </w:r>
          </w:p>
        </w:tc>
      </w:tr>
    </w:tbl>
    <w:p>
      <w:r>
        <w:br w:type="page"/>
      </w:r>
    </w:p>
    <w:p>
      <w:pPr>
        <w:pStyle w:val="Heading1"/>
        <w:spacing w:after="160" w:before="360"/>
      </w:pPr>
      <w:r>
        <w:t xml:space="preserve">7. Decisiones pendientes de definición</w:t>
      </w:r>
    </w:p>
    <w:p>
      <w:pPr>
        <w:spacing w:after="160"/>
      </w:pPr>
      <w:r>
        <w:t xml:space="preserve">La especificación original no resuelve por sí sola estos tres puntos. Se detallan las opciones evaluadas y una recomendación, a la espera de confirmación.</w:t>
      </w:r>
    </w:p>
    <w:p>
      <w:pPr>
        <w:pStyle w:val="Heading2"/>
        <w:spacing w:after="120" w:before="260"/>
      </w:pPr>
      <w:r>
        <w:t xml:space="preserve">7.1 Caja única vs. varias cajas simultáneas</w:t>
      </w:r>
    </w:p>
    <w:p>
      <w:pPr>
        <w:spacing w:after="160"/>
      </w:pPr>
      <w:r>
        <w:t xml:space="preserve">Define si la aplicación corre en un solo dispositivo durante todo el evento, o si varios dispositivos venden al mismo tiempo compartiendo stock y totales en vivo. Es la decisión de mayor impacto técnico: determina si alcanza con guardar los datos en el navegador de un solo equipo, o si se necesita un servidor con base de datos para mantener sincronizados varios dispositivos.</w:t>
      </w:r>
    </w:p>
    <w:p>
      <w:pPr>
        <w:pStyle w:val="ListParagraph"/>
        <w:numPr>
          <w:ilvl w:val="0"/>
          <w:numId w:val="2"/>
        </w:numPr>
        <w:spacing w:after="80"/>
      </w:pPr>
      <w:r>
        <w:t xml:space="preserve">Opción A — Caja única: un solo dispositivo opera todo el evento. Arquitectura simple, todo vive en ese navegador, el funcionamiento offline no requiere sincronizar con nada externo</w:t>
      </w:r>
    </w:p>
    <w:p>
      <w:pPr>
        <w:pStyle w:val="ListParagraph"/>
        <w:numPr>
          <w:ilvl w:val="0"/>
          <w:numId w:val="2"/>
        </w:numPr>
        <w:spacing w:after="80"/>
      </w:pPr>
      <w:r>
        <w:t xml:space="preserve">Opción B — Varias cajas simultáneas: dos o más dispositivos venden en paralelo y necesitan ver el mismo stock y totales actualizados entre sí. Requiere un backend con base de datos y una estrategia real de sincronización offline/online</w:t>
      </w:r>
    </w:p>
    <w:p>
      <w:pPr>
        <w:spacing w:after="200" w:before="100"/>
      </w:pPr>
      <w:r>
        <w:rPr>
          <w:b/>
          <w:bCs/>
          <w:color w:val="1F4E5F"/>
        </w:rPr>
        <w:t xml:space="preserve">Recomendación: </w:t>
      </w:r>
      <w:r>
        <w:t xml:space="preserve">Opción A (caja única) para la primera versión, salvo que el operativo del buffet contemple más de un puesto de venta funcionando al mismo tiempo.</w:t>
      </w:r>
    </w:p>
    <w:p>
      <w:pPr>
        <w:pStyle w:val="Heading2"/>
        <w:spacing w:after="120" w:before="260"/>
      </w:pPr>
      <w:r>
        <w:t xml:space="preserve">7.2 Flujo de selección del método de pago</w:t>
      </w:r>
    </w:p>
    <w:p>
      <w:pPr>
        <w:spacing w:after="160"/>
      </w:pPr>
      <w:r>
        <w:t xml:space="preserve">Define cómo el cajero indica si una venta fue en efectivo, transferencia, tarjeta u otro, sin perder velocidad.</w:t>
      </w:r>
    </w:p>
    <w:p>
      <w:pPr>
        <w:pStyle w:val="ListParagraph"/>
        <w:numPr>
          <w:ilvl w:val="0"/>
          <w:numId w:val="2"/>
        </w:numPr>
        <w:spacing w:after="80"/>
      </w:pPr>
      <w:r>
        <w:t xml:space="preserve">Opción A — Selector fijo siempre visible: el cajero elige el método una vez (ej. “Efectivo”) y todos los toques de producto usan ese método hasta que lo cambie</w:t>
      </w:r>
    </w:p>
    <w:p>
      <w:pPr>
        <w:pStyle w:val="ListParagraph"/>
        <w:numPr>
          <w:ilvl w:val="0"/>
          <w:numId w:val="2"/>
        </w:numPr>
        <w:spacing w:after="80"/>
      </w:pPr>
      <w:r>
        <w:t xml:space="preserve">Opción B — Confirmación por venta: al tocar un producto aparece un paso rápido para elegir el método antes de registrar la venta</w:t>
      </w:r>
    </w:p>
    <w:p>
      <w:pPr>
        <w:spacing w:after="200" w:before="100"/>
      </w:pPr>
      <w:r>
        <w:rPr>
          <w:b/>
          <w:bCs/>
          <w:color w:val="1F4E5F"/>
        </w:rPr>
        <w:t xml:space="preserve">Recomendación: </w:t>
      </w:r>
      <w:r>
        <w:t xml:space="preserve">Opción A (selector fijo), porque preserva el flujo “tocar producto → venta registrada” sin ventanas intermedias, que es un requisito explícito de la especificación.</w:t>
      </w:r>
    </w:p>
    <w:p>
      <w:pPr>
        <w:pStyle w:val="Heading2"/>
        <w:spacing w:after="120" w:before="260"/>
      </w:pPr>
      <w:r>
        <w:t xml:space="preserve">7.3 Alcance del primer prototipo</w:t>
      </w:r>
    </w:p>
    <w:p>
      <w:pPr>
        <w:spacing w:after="160"/>
      </w:pPr>
      <w:r>
        <w:t xml:space="preserve">Define qué tan lejos llega la primera entrega que se va a revisar antes de construir el resto del sistema.</w:t>
      </w:r>
    </w:p>
    <w:p>
      <w:pPr>
        <w:pStyle w:val="ListParagraph"/>
        <w:numPr>
          <w:ilvl w:val="0"/>
          <w:numId w:val="2"/>
        </w:numPr>
        <w:spacing w:after="80"/>
      </w:pPr>
      <w:r>
        <w:t xml:space="preserve">Opción A — Prototipo visual: botonera, totales, stock visual, arqueo y dashboard con datos de ejemplo, enfocado en validar diseño y experiencia de uso</w:t>
      </w:r>
    </w:p>
    <w:p>
      <w:pPr>
        <w:pStyle w:val="ListParagraph"/>
        <w:numPr>
          <w:ilvl w:val="0"/>
          <w:numId w:val="2"/>
        </w:numPr>
        <w:spacing w:after="80"/>
      </w:pPr>
      <w:r>
        <w:t xml:space="preserve">Opción B — Prototipo funcional en el navegador: además de verse terminado, ya registra ventas y descuenta stock real, guardado en el navegador, sin backend ni sincronización todavía</w:t>
      </w:r>
    </w:p>
    <w:p>
      <w:pPr>
        <w:spacing w:after="200" w:before="100"/>
      </w:pPr>
      <w:r>
        <w:rPr>
          <w:b/>
          <w:bCs/>
          <w:color w:val="1F4E5F"/>
        </w:rPr>
        <w:t xml:space="preserve">Recomendación: </w:t>
      </w:r>
      <w:r>
        <w:t xml:space="preserve">Opción A (prototipo visual) como primer paso, para validar la interfaz antes de invertir en toda la lógica de stock, conversiones, cortes y arqueos.</w:t>
      </w:r>
    </w:p>
    <w:p>
      <w:pPr>
        <w:pStyle w:val="Heading1"/>
        <w:spacing w:after="160" w:before="360"/>
      </w:pPr>
      <w:r>
        <w:t xml:space="preserve">8. Supuestos de trabajo</w:t>
      </w:r>
    </w:p>
    <w:p>
      <w:pPr>
        <w:spacing w:after="160"/>
      </w:pPr>
      <w:r>
        <w:t xml:space="preserve">Hasta tanto se confirmen las decisiones de la sección 7, se avanza asumiendo:</w:t>
      </w:r>
    </w:p>
    <w:p>
      <w:pPr>
        <w:pStyle w:val="ListParagraph"/>
        <w:numPr>
          <w:ilvl w:val="0"/>
          <w:numId w:val="2"/>
        </w:numPr>
        <w:spacing w:after="80"/>
      </w:pPr>
      <w:r>
        <w:t xml:space="preserve">Una sola caja/dispositivo por evento</w:t>
      </w:r>
    </w:p>
    <w:p>
      <w:pPr>
        <w:pStyle w:val="ListParagraph"/>
        <w:numPr>
          <w:ilvl w:val="0"/>
          <w:numId w:val="2"/>
        </w:numPr>
        <w:spacing w:after="80"/>
      </w:pPr>
      <w:r>
        <w:t xml:space="preserve">Selector de método de pago fijo y siempre visible en la pantalla principal</w:t>
      </w:r>
    </w:p>
    <w:p>
      <w:pPr>
        <w:pStyle w:val="ListParagraph"/>
        <w:numPr>
          <w:ilvl w:val="0"/>
          <w:numId w:val="2"/>
        </w:numPr>
        <w:spacing w:after="80"/>
      </w:pPr>
      <w:r>
        <w:t xml:space="preserve">La primera entrega es un prototipo visual con datos de ejemplo, no la aplicación funcional completa</w:t>
      </w:r>
    </w:p>
    <w:p>
      <w:pPr>
        <w:pStyle w:val="Heading1"/>
        <w:spacing w:after="160" w:before="360"/>
      </w:pPr>
      <w:r>
        <w:t xml:space="preserve">9. Fuera de alcance para la v1</w:t>
      </w:r>
    </w:p>
    <w:p>
      <w:pPr>
        <w:pStyle w:val="ListParagraph"/>
        <w:numPr>
          <w:ilvl w:val="0"/>
          <w:numId w:val="2"/>
        </w:numPr>
        <w:spacing w:after="80"/>
      </w:pPr>
      <w:r>
        <w:t xml:space="preserve">Múltiples eventos activos en simultáneo</w:t>
      </w:r>
    </w:p>
    <w:p>
      <w:pPr>
        <w:pStyle w:val="ListParagraph"/>
        <w:numPr>
          <w:ilvl w:val="0"/>
          <w:numId w:val="2"/>
        </w:numPr>
        <w:spacing w:after="80"/>
      </w:pPr>
      <w:r>
        <w:t xml:space="preserve">Sistema de usuarios con login real y permisos diferenciados (se deja la arquitectura preparada, pero no se implementa en esta versión)</w:t>
      </w:r>
    </w:p>
    <w:p>
      <w:pPr>
        <w:pStyle w:val="ListParagraph"/>
        <w:numPr>
          <w:ilvl w:val="0"/>
          <w:numId w:val="2"/>
        </w:numPr>
        <w:spacing w:after="80"/>
      </w:pPr>
      <w:r>
        <w:t xml:space="preserve">Sincronización en tiempo real entre varios dispositivos (depende de la decisión 7.1)</w:t>
      </w:r>
    </w:p>
    <w:p>
      <w:pPr>
        <w:pStyle w:val="ListParagraph"/>
        <w:numPr>
          <w:ilvl w:val="0"/>
          <w:numId w:val="2"/>
        </w:numPr>
        <w:spacing w:after="80"/>
      </w:pPr>
      <w:r>
        <w:t xml:space="preserve">Integraciones automáticas con medios de pago electrónicos (cobro con tarjeta o QR desde la propia app)</w:t>
      </w:r>
    </w:p>
    <w:p>
      <w:pPr>
        <w:pStyle w:val="ListParagraph"/>
        <w:numPr>
          <w:ilvl w:val="0"/>
          <w:numId w:val="2"/>
        </w:numPr>
        <w:spacing w:after="80"/>
      </w:pPr>
      <w:r>
        <w:t xml:space="preserve">Notificaciones push o envío automático de reportes</w:t>
      </w:r>
    </w:p>
    <w:p>
      <w:pPr>
        <w:pStyle w:val="Heading1"/>
        <w:spacing w:after="160" w:before="360"/>
      </w:pPr>
      <w:r>
        <w:t xml:space="preserve">10. Próximos pasos</w:t>
      </w:r>
    </w:p>
    <w:p>
      <w:pPr>
        <w:pStyle w:val="ListParagraph"/>
        <w:numPr>
          <w:ilvl w:val="0"/>
          <w:numId w:val="2"/>
        </w:numPr>
        <w:spacing w:after="80"/>
      </w:pPr>
      <w:r>
        <w:t xml:space="preserve">Confirmar las tres decisiones pendientes de la sección 7</w:t>
      </w:r>
    </w:p>
    <w:p>
      <w:pPr>
        <w:pStyle w:val="ListParagraph"/>
        <w:numPr>
          <w:ilvl w:val="0"/>
          <w:numId w:val="2"/>
        </w:numPr>
        <w:spacing w:after="80"/>
      </w:pPr>
      <w:r>
        <w:t xml:space="preserve">Construir el prototipo visual de la pantalla de caja para validar diseño y experiencia de uso</w:t>
      </w:r>
    </w:p>
    <w:p>
      <w:pPr>
        <w:pStyle w:val="ListParagraph"/>
        <w:numPr>
          <w:ilvl w:val="0"/>
          <w:numId w:val="2"/>
        </w:numPr>
        <w:spacing w:after="80"/>
      </w:pPr>
      <w:r>
        <w:t xml:space="preserve">Iterar sobre el prototipo con feedback directo</w:t>
      </w:r>
    </w:p>
    <w:p>
      <w:pPr>
        <w:pStyle w:val="ListParagraph"/>
        <w:numPr>
          <w:ilvl w:val="0"/>
          <w:numId w:val="2"/>
        </w:numPr>
        <w:spacing w:after="80"/>
      </w:pPr>
      <w:r>
        <w:t xml:space="preserve">Implementar la lógica funcional siguiendo el orden de prioridad de la sección 6</w:t>
      </w:r>
    </w:p>
    <w:p>
      <w:pPr>
        <w:pStyle w:val="ListParagraph"/>
        <w:numPr>
          <w:ilvl w:val="0"/>
          <w:numId w:val="2"/>
        </w:numPr>
        <w:spacing w:after="80"/>
      </w:pPr>
      <w:r>
        <w:t xml:space="preserve">Cargar los productos y precios reales del evento y probar la aplicación antes del día del evento</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160" w:before="360"/>
    </w:pPr>
    <w:rPr>
      <w:rFonts w:ascii="Calibri" w:cs="Calibri" w:eastAsia="Calibri" w:hAnsi="Calibri"/>
      <w:b/>
      <w:bCs/>
      <w:color w:val="1F4E5F"/>
      <w:sz w:val="30"/>
      <w:szCs w:val="30"/>
    </w:rPr>
  </w:style>
  <w:style w:type="paragraph" w:styleId="Heading2">
    <w:name w:val="Heading 2"/>
    <w:basedOn w:val="Normal"/>
    <w:next w:val="Normal"/>
    <w:qFormat/>
    <w:pPr>
      <w:spacing w:after="120" w:before="260"/>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2026-08-21T04:40:22.727Z</dcterms:created>
  <dcterms:modified xsi:type="dcterms:W3CDTF">2026-08-21T04:40:22.728Z</dcterms:modified>
</cp:coreProperties>
</file>

<file path=docProps/custom.xml><?xml version="1.0" encoding="utf-8"?>
<Properties xmlns="http://schemas.openxmlformats.org/officeDocument/2006/custom-properties" xmlns:vt="http://schemas.openxmlformats.org/officeDocument/2006/docPropsVTypes"/>
</file>