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Panel de obra con dieciséis indicadores: avance real ponderado por duración, avance planificado, índice de desempeño del cronograma (SPI), fecha de fin proyectada, salud de la ruta crítica, desvío contra la línea base, estado de hitos, ejecución de materiales, alertas por severidad, cuello de botella y una curva de evolución planificado/real historizada día a día por un job del planificador, servidos en una sola llamada (</w:t>
            </w:r>
            <w:r>
              <w:rPr>
                <w:rFonts w:ascii="Consolas" w:hAnsi="Consolas"/>
                <w:b w:val="0"/>
                <w:i w:val="0"/>
                <w:color w:val="1A2329"/>
                <w:sz w:val="19"/>
              </w:rPr>
              <w:t>GET /obras/{id}/dashboard</w:t>
            </w:r>
            <w:r>
              <w:rPr>
                <w:rFonts w:ascii="Calibri" w:hAnsi="Calibri"/>
                <w:b w:val="0"/>
                <w:i w:val="0"/>
                <w:color w:val="1A2329"/>
                <w:sz w:val="20"/>
              </w:rPr>
              <w:t xml:space="preserve">); más un acordeón mensual con concentración de retrasos, precisión de estimación por disciplina, evidencia de las tareas con mayor desvío (bitácora, alertas e impacto en cascada, sin identificar al responsable), temas recurrentes de bitácora con su correlación con retrasos posteriores y velocidad de reacción a alertas por tipo, leídos de </w:t>
            </w:r>
            <w:r>
              <w:rPr>
                <w:rFonts w:ascii="Consolas" w:hAnsi="Consolas"/>
                <w:b w:val="0"/>
                <w:i w:val="0"/>
                <w:color w:val="1A2329"/>
                <w:sz w:val="19"/>
              </w:rPr>
              <w:t>GET /obras/{id}/dashboard/monthly-insights</w:t>
            </w:r>
            <w:r>
              <w:rPr>
                <w:rFonts w:ascii="Calibri" w:hAnsi="Calibri"/>
                <w:b w:val="0"/>
                <w:i w:val="0"/>
                <w:color w:val="1A2329"/>
                <w:sz w:val="20"/>
              </w:rPr>
              <w:t xml:space="preserve">. Cada bloque declara si el dato está disponible y por qué no lo está, en vez de completar con ceros. Diseño documentado en </w:t>
            </w:r>
            <w:r>
              <w:rPr>
                <w:rFonts w:ascii="Consolas" w:hAnsi="Consolas"/>
                <w:b w:val="0"/>
                <w:i w:val="0"/>
                <w:color w:val="1A2329"/>
                <w:sz w:val="19"/>
              </w:rPr>
              <w:t>docs/features/dashboard-indicadores-obra.md</w:t>
            </w:r>
            <w:r>
              <w:rPr>
                <w:rFonts w:ascii="Calibri" w:hAnsi="Calibri"/>
                <w:b w:val="0"/>
                <w:i w:val="0"/>
                <w:color w:val="1A2329"/>
                <w:sz w:val="20"/>
              </w:rPr>
              <w:t xml:space="preserve"> (09/09/2026, extendido el 10/09/2026) e implementación en cuatro etapas incrementales, la última cerrada el 10/09/2026.</w:t>
            </w:r>
          </w:p>
        </w:tc>
        <w:tc>
          <w:tcPr>
            <w:tcW w:type="dxa" w:w="1872"/>
            <w:shd w:val="clear" w:fill="F6F7F6"/>
          </w:tcPr>
          <w:p>
            <w:r/>
            <w:r>
              <w:rPr>
                <w:rFonts w:ascii="Calibri" w:hAnsi="Calibri"/>
                <w:b w:val="0"/>
                <w:i w:val="0"/>
                <w:color w:val="1A2329"/>
                <w:sz w:val="20"/>
              </w:rPr>
              <w:t>El toggle semana/mes de la curva de avance quedó acotado a semanal; el detalle por responsable de la concentración de retrasos se restringe a administradores por diseño, no por limitación técnica.</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619 tests distribuidos en 55 archivos (ejecutados en integración continua), que cubren aislamiento por tenant, autenticación, rate limiting e importaciones, sumados a 49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spacing w:after="160" w:lineRule="auto" w:line="276"/>
        <w:jc w:val="both"/>
      </w:pPr>
      <w:r>
        <w:rPr>
          <w:rFonts w:ascii="Calibri" w:hAnsi="Calibri"/>
          <w:b/>
          <w:i w:val="0"/>
          <w:color w:val="1A2329"/>
          <w:sz w:val="22"/>
        </w:rPr>
        <w:t>Dashboard de Indicadores</w:t>
      </w:r>
    </w:p>
    <w:p>
      <w:pPr>
        <w:pStyle w:val="ListBullet"/>
        <w:spacing w:after="60"/>
        <w:jc w:val="both"/>
      </w:pPr>
      <w:r>
        <w:rPr>
          <w:rFonts w:ascii="Calibri" w:hAnsi="Calibri"/>
          <w:b/>
          <w:i w:val="0"/>
          <w:color w:val="1A2329"/>
          <w:sz w:val="22"/>
        </w:rPr>
        <w:t>RF-77:</w:t>
      </w:r>
      <w:r>
        <w:rPr>
          <w:rFonts w:ascii="Calibri" w:hAnsi="Calibri"/>
          <w:b w:val="0"/>
          <w:i w:val="0"/>
          <w:color w:val="1A2329"/>
          <w:sz w:val="22"/>
        </w:rPr>
        <w:t xml:space="preserve"> El sistema debe calcular el avance real de una obra ponderado por la duración planificada de cada tarea (días laborables), de modo que una tarea de veinte días pese veinte veces más que una de un día.</w:t>
      </w:r>
    </w:p>
    <w:p>
      <w:pPr>
        <w:pStyle w:val="ListBullet"/>
        <w:spacing w:after="60"/>
        <w:jc w:val="both"/>
      </w:pPr>
      <w:r>
        <w:rPr>
          <w:rFonts w:ascii="Calibri" w:hAnsi="Calibri"/>
          <w:b/>
          <w:i w:val="0"/>
          <w:color w:val="1A2329"/>
          <w:sz w:val="22"/>
        </w:rPr>
        <w:t>RF-78:</w:t>
      </w:r>
      <w:r>
        <w:rPr>
          <w:rFonts w:ascii="Calibri" w:hAnsi="Calibri"/>
          <w:b w:val="0"/>
          <w:i w:val="0"/>
          <w:color w:val="1A2329"/>
          <w:sz w:val="22"/>
        </w:rPr>
        <w:t xml:space="preserve"> El sistema debe calcular el avance planificado a la fecha, el índice de desempeño del cronograma (SPI) resultante de comparar ambos, y proyectar la fecha de fin de obra a partir del ritmo de avance vigente.</w:t>
      </w:r>
    </w:p>
    <w:p>
      <w:pPr>
        <w:pStyle w:val="ListBullet"/>
        <w:spacing w:after="60"/>
        <w:jc w:val="both"/>
      </w:pPr>
      <w:r>
        <w:rPr>
          <w:rFonts w:ascii="Calibri" w:hAnsi="Calibri"/>
          <w:b/>
          <w:i w:val="0"/>
          <w:color w:val="1A2329"/>
          <w:sz w:val="22"/>
        </w:rPr>
        <w:t>RF-79:</w:t>
      </w:r>
      <w:r>
        <w:rPr>
          <w:rFonts w:ascii="Calibri" w:hAnsi="Calibri"/>
          <w:b w:val="0"/>
          <w:i w:val="0"/>
          <w:color w:val="1A2329"/>
          <w:sz w:val="22"/>
        </w:rPr>
        <w:t xml:space="preserve"> El sistema debe agregar en el panel de obra la salud de la ruta crítica (cantidad de tareas críticas, en riesgo y con holgura, y la cobertura del cálculo) y el desvío del cronograma actual respecto de la línea base guardada.</w:t>
      </w:r>
    </w:p>
    <w:p>
      <w:pPr>
        <w:pStyle w:val="ListBullet"/>
        <w:spacing w:after="60"/>
        <w:jc w:val="both"/>
      </w:pPr>
      <w:r>
        <w:rPr>
          <w:rFonts w:ascii="Calibri" w:hAnsi="Calibri"/>
          <w:b/>
          <w:i w:val="0"/>
          <w:color w:val="1A2329"/>
          <w:sz w:val="22"/>
        </w:rPr>
        <w:t>RF-80:</w:t>
      </w:r>
      <w:r>
        <w:rPr>
          <w:rFonts w:ascii="Calibri" w:hAnsi="Calibri"/>
          <w:b w:val="0"/>
          <w:i w:val="0"/>
          <w:color w:val="1A2329"/>
          <w:sz w:val="22"/>
        </w:rPr>
        <w:t xml:space="preserve"> El sistema debe mostrar el estado de cada hito de la obra (cumplido, cumplido con demora, en riesgo o pendiente) en el panel.</w:t>
      </w:r>
    </w:p>
    <w:p>
      <w:pPr>
        <w:pStyle w:val="ListBullet"/>
        <w:spacing w:after="60"/>
        <w:jc w:val="both"/>
      </w:pPr>
      <w:r>
        <w:rPr>
          <w:rFonts w:ascii="Calibri" w:hAnsi="Calibri"/>
          <w:b/>
          <w:i w:val="0"/>
          <w:color w:val="1A2329"/>
          <w:sz w:val="22"/>
        </w:rPr>
        <w:t>RF-81:</w:t>
      </w:r>
      <w:r>
        <w:rPr>
          <w:rFonts w:ascii="Calibri" w:hAnsi="Calibri"/>
          <w:b w:val="0"/>
          <w:i w:val="0"/>
          <w:color w:val="1A2329"/>
          <w:sz w:val="22"/>
        </w:rPr>
        <w:t xml:space="preserve"> El sistema debe mostrar la ejecución de materiales de la obra (porcentaje comprometido y recibido respecto del estimado) y su alineación con el avance real.</w:t>
      </w:r>
    </w:p>
    <w:p>
      <w:pPr>
        <w:pStyle w:val="ListBullet"/>
        <w:spacing w:after="60"/>
        <w:jc w:val="both"/>
      </w:pPr>
      <w:r>
        <w:rPr>
          <w:rFonts w:ascii="Calibri" w:hAnsi="Calibri"/>
          <w:b/>
          <w:i w:val="0"/>
          <w:color w:val="1A2329"/>
          <w:sz w:val="22"/>
        </w:rPr>
        <w:t>RF-82:</w:t>
      </w:r>
      <w:r>
        <w:rPr>
          <w:rFonts w:ascii="Calibri" w:hAnsi="Calibri"/>
          <w:b w:val="0"/>
          <w:i w:val="0"/>
          <w:color w:val="1A2329"/>
          <w:sz w:val="22"/>
        </w:rPr>
        <w:t xml:space="preserve"> El sistema debe historizar diariamente el avance de cada obra activa y presentar su evolución planificada frente a la real en un gráfico temporal, además de exponer en el panel la concentración de retrasos por tarea y por responsable y la precisión histórica de estimación por disciplina, restringiendo el detalle por responsable a usuarios administradores.</w:t>
      </w:r>
    </w:p>
    <w:p>
      <w:pPr>
        <w:pStyle w:val="ListBullet"/>
        <w:spacing w:after="60"/>
        <w:jc w:val="both"/>
      </w:pPr>
      <w:r>
        <w:rPr>
          <w:rFonts w:ascii="Calibri" w:hAnsi="Calibri"/>
          <w:b/>
          <w:i w:val="0"/>
          <w:color w:val="1A2329"/>
          <w:sz w:val="22"/>
        </w:rPr>
        <w:t>RF-83:</w:t>
      </w:r>
      <w:r>
        <w:rPr>
          <w:rFonts w:ascii="Calibri" w:hAnsi="Calibri"/>
          <w:b w:val="0"/>
          <w:i w:val="0"/>
          <w:color w:val="1A2329"/>
          <w:sz w:val="22"/>
        </w:rPr>
        <w:t xml:space="preserve"> El sistema debe exponer en el panel, para las tareas con mayor desvío del período, un paquete de evidencia (menciones de bitácora, alertas asociadas e impacto en cascada) sin identificar al responsable de la tarea; debe además agrupar las menciones de bitácora por tipo de problema recurrente con su correlación con retrasos posteriores, y mostrar la velocidad de reacción a alertas por tipo.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 El linter del frontend (ESLint, con las reglas de React 19 y de </w:t>
      </w:r>
      <w:r>
        <w:rPr>
          <w:rFonts w:ascii="Calibri" w:hAnsi="Calibri"/>
          <w:b w:val="0"/>
          <w:i/>
          <w:color w:val="1A2329"/>
          <w:sz w:val="22"/>
        </w:rPr>
        <w:t>Fast Refresh</w:t>
      </w:r>
      <w:r>
        <w:rPr>
          <w:rFonts w:ascii="Calibri" w:hAnsi="Calibri"/>
          <w:b w:val="0"/>
          <w:i w:val="0"/>
          <w:color w:val="1A2329"/>
          <w:sz w:val="22"/>
        </w:rPr>
        <w:t xml:space="preserve"> de Vite) corre limpio de forma sostenida: el 10/09/2026 se resolvieron los 70 problemas preexistentes detectados en una revisión integral (no limitada a los módulos en desarrollo), separando en archivos propios los </w:t>
      </w:r>
      <w:r>
        <w:rPr>
          <w:rFonts w:ascii="Calibri" w:hAnsi="Calibri"/>
          <w:b w:val="0"/>
          <w:i/>
          <w:color w:val="1A2329"/>
          <w:sz w:val="22"/>
        </w:rPr>
        <w:t>hooks</w:t>
      </w:r>
      <w:r>
        <w:rPr>
          <w:rFonts w:ascii="Calibri" w:hAnsi="Calibri"/>
          <w:b w:val="0"/>
          <w:i w:val="0"/>
          <w:color w:val="1A2329"/>
          <w:sz w:val="22"/>
        </w:rPr>
        <w:t xml:space="preserve"> y objetos de contexto que antes compartían archivo con un componente, y corrigiendo un desvío real de datos detectado al aplicar el fix (</w:t>
      </w:r>
      <w:r>
        <w:rPr>
          <w:rFonts w:ascii="Consolas" w:hAnsi="Consolas"/>
          <w:b w:val="0"/>
          <w:i w:val="0"/>
          <w:color w:val="1A2329"/>
          <w:sz w:val="21"/>
        </w:rPr>
        <w:t>GanttTimeline.tsx</w:t>
      </w:r>
      <w:r>
        <w:rPr>
          <w:rFonts w:ascii="Calibri" w:hAnsi="Calibri"/>
          <w:b w:val="0"/>
          <w:i w:val="0"/>
          <w:color w:val="1A2329"/>
          <w:sz w:val="22"/>
        </w:rPr>
        <w:t>: una referencia leída durante el renderizado del arrastre de filas del cronograma podía quedar desactualizada).</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 La resolución de identidad contempla el ciclo de vida del número: un responsable dado de baja deja de reservarlo (el número puede reasignarse al personal de la empresa, con un control que impide reactivar al responsable mientras otro lo tenga), y la comparación reconoce como equivalentes las dos formas en que se escribe un celular argentino (+54 y +549), que en la práctica conviven en los registros.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La cadena está endurecida contra su punto débil estructural —el audio se graba en la obra, con viento y ruido de máquinas, y un error de transcripción se propaga al análisis sin que el modelo de lenguaje pueda detectarlo, porque no escucha el audio— con dos medidas tomadas de la evidencia sobre cadenas ASR→LLM: la transcripción recibe un </w:t>
      </w:r>
      <w:r>
        <w:rPr>
          <w:rFonts w:ascii="Calibri" w:hAnsi="Calibri"/>
          <w:b/>
          <w:i w:val="0"/>
          <w:color w:val="1A2329"/>
          <w:sz w:val="22"/>
        </w:rPr>
        <w:t>glosario de jerga de obra</w:t>
      </w:r>
      <w:r>
        <w:rPr>
          <w:rFonts w:ascii="Calibri" w:hAnsi="Calibri"/>
          <w:b w:val="0"/>
          <w:i w:val="0"/>
          <w:color w:val="1A2329"/>
          <w:sz w:val="22"/>
        </w:rPr>
        <w:t xml:space="preserve"> (unos cincuenta términos del rubro en Argentina) que sesga al reconocedor hacia el vocabulario técnico donde más se equivoca, y el análisis tiene instruido </w:t>
      </w:r>
      <w:r>
        <w:rPr>
          <w:rFonts w:ascii="Calibri" w:hAnsi="Calibri"/>
          <w:b/>
          <w:i w:val="0"/>
          <w:color w:val="1A2329"/>
          <w:sz w:val="22"/>
        </w:rPr>
        <w:t>marcar la incertidumbre en vez de corregir en silencio</w:t>
      </w:r>
      <w:r>
        <w:rPr>
          <w:rFonts w:ascii="Calibri" w:hAnsi="Calibri"/>
          <w:b w:val="0"/>
          <w:i w:val="0"/>
          <w:color w:val="1A2329"/>
          <w:sz w:val="22"/>
        </w:rPr>
        <w:t xml:space="preserve">: un fragmento que parece mal transcripto no habilita sugerencias de acción —se registra como nota citando el texto dudoso, para confirmarlo con el emisor— y la duda queda señalada en el resumen, de modo que el revisor humano pueda verla en lugar de heredar una interpretación fabricada.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pStyle w:val="ListBullet"/>
        <w:spacing w:after="60"/>
        <w:jc w:val="both"/>
      </w:pPr>
      <w:r>
        <w:rPr>
          <w:rFonts w:ascii="Calibri" w:hAnsi="Calibri"/>
          <w:b/>
          <w:i w:val="0"/>
          <w:color w:val="1A2329"/>
          <w:sz w:val="22"/>
        </w:rPr>
        <w:t>Módulo de dashboard de indicadores:</w:t>
      </w:r>
      <w:r>
        <w:rPr>
          <w:rFonts w:ascii="Calibri" w:hAnsi="Calibri"/>
          <w:b w:val="0"/>
          <w:i w:val="0"/>
          <w:color w:val="1A2329"/>
          <w:sz w:val="22"/>
        </w:rPr>
        <w:t xml:space="preserve"> reemplaza el panel de obra original —que contaba tareas completadas sin ponderar su tamaño— por dieciséis indicadores, diseñados primero como documento (</w:t>
      </w:r>
      <w:r>
        <w:rPr>
          <w:rFonts w:ascii="Consolas" w:hAnsi="Consolas"/>
          <w:b w:val="0"/>
          <w:i w:val="0"/>
          <w:color w:val="1A2329"/>
          <w:sz w:val="21"/>
        </w:rPr>
        <w:t>docs/features/dashboard-indicadores-obra.md</w:t>
      </w:r>
      <w:r>
        <w:rPr>
          <w:rFonts w:ascii="Calibri" w:hAnsi="Calibri"/>
          <w:b w:val="0"/>
          <w:i w:val="0"/>
          <w:color w:val="1A2329"/>
          <w:sz w:val="22"/>
        </w:rPr>
        <w:t>) y luego implementados en cuatro etapas incrementales. Los indicadores en vivo se sirven en una sola llamada (</w:t>
      </w:r>
      <w:r>
        <w:rPr>
          <w:rFonts w:ascii="Consolas" w:hAnsi="Consolas"/>
          <w:b w:val="0"/>
          <w:i w:val="0"/>
          <w:color w:val="1A2329"/>
          <w:sz w:val="21"/>
        </w:rPr>
        <w:t>GET /obras/{id}/dashboard</w:t>
      </w:r>
      <w:r>
        <w:rPr>
          <w:rFonts w:ascii="Calibri" w:hAnsi="Calibri"/>
          <w:b w:val="0"/>
          <w:i w:val="0"/>
          <w:color w:val="1A2329"/>
          <w:sz w:val="22"/>
        </w:rPr>
        <w:t xml:space="preserve">). El </w:t>
      </w:r>
      <w:r>
        <w:rPr>
          <w:rFonts w:ascii="Calibri" w:hAnsi="Calibri"/>
          <w:b/>
          <w:i w:val="0"/>
          <w:color w:val="1A2329"/>
          <w:sz w:val="22"/>
        </w:rPr>
        <w:t>avance real</w:t>
      </w:r>
      <w:r>
        <w:rPr>
          <w:rFonts w:ascii="Calibri" w:hAnsi="Calibri"/>
          <w:b w:val="0"/>
          <w:i w:val="0"/>
          <w:color w:val="1A2329"/>
          <w:sz w:val="22"/>
        </w:rPr>
        <w:t xml:space="preserve"> se pondera por la duración planificada de cada tarea en días laborables, y se compara contra el </w:t>
      </w:r>
      <w:r>
        <w:rPr>
          <w:rFonts w:ascii="Calibri" w:hAnsi="Calibri"/>
          <w:b/>
          <w:i w:val="0"/>
          <w:color w:val="1A2329"/>
          <w:sz w:val="22"/>
        </w:rPr>
        <w:t>avance planificado</w:t>
      </w:r>
      <w:r>
        <w:rPr>
          <w:rFonts w:ascii="Calibri" w:hAnsi="Calibri"/>
          <w:b w:val="0"/>
          <w:i w:val="0"/>
          <w:color w:val="1A2329"/>
          <w:sz w:val="22"/>
        </w:rPr>
        <w:t xml:space="preserve"> a la fecha para obtener el </w:t>
      </w:r>
      <w:r>
        <w:rPr>
          <w:rFonts w:ascii="Calibri" w:hAnsi="Calibri"/>
          <w:b/>
          <w:i w:val="0"/>
          <w:color w:val="1A2329"/>
          <w:sz w:val="22"/>
        </w:rPr>
        <w:t>índice de desempeño del cronograma (SPI)</w:t>
      </w:r>
      <w:r>
        <w:rPr>
          <w:rFonts w:ascii="Calibri" w:hAnsi="Calibri"/>
          <w:b w:val="0"/>
          <w:i w:val="0"/>
          <w:color w:val="1A2329"/>
          <w:sz w:val="22"/>
        </w:rPr>
        <w:t xml:space="preserve">, del que además se deriva una </w:t>
      </w:r>
      <w:r>
        <w:rPr>
          <w:rFonts w:ascii="Calibri" w:hAnsi="Calibri"/>
          <w:b/>
          <w:i w:val="0"/>
          <w:color w:val="1A2329"/>
          <w:sz w:val="22"/>
        </w:rPr>
        <w:t>fecha de fin proyectada</w:t>
      </w:r>
      <w:r>
        <w:rPr>
          <w:rFonts w:ascii="Calibri" w:hAnsi="Calibri"/>
          <w:b w:val="0"/>
          <w:i w:val="0"/>
          <w:color w:val="1A2329"/>
          <w:sz w:val="22"/>
        </w:rPr>
        <w:t xml:space="preserve">. Se agregan en el mismo panel la </w:t>
      </w:r>
      <w:r>
        <w:rPr>
          <w:rFonts w:ascii="Calibri" w:hAnsi="Calibri"/>
          <w:b/>
          <w:i w:val="0"/>
          <w:color w:val="1A2329"/>
          <w:sz w:val="22"/>
        </w:rPr>
        <w:t>salud de la ruta crítica</w:t>
      </w:r>
      <w:r>
        <w:rPr>
          <w:rFonts w:ascii="Calibri" w:hAnsi="Calibri"/>
          <w:b w:val="0"/>
          <w:i w:val="0"/>
          <w:color w:val="1A2329"/>
          <w:sz w:val="22"/>
        </w:rPr>
        <w:t xml:space="preserve"> (tareas críticas, en riesgo y holgura mediana, con su porcentaje de cobertura), el </w:t>
      </w:r>
      <w:r>
        <w:rPr>
          <w:rFonts w:ascii="Calibri" w:hAnsi="Calibri"/>
          <w:b/>
          <w:i w:val="0"/>
          <w:color w:val="1A2329"/>
          <w:sz w:val="22"/>
        </w:rPr>
        <w:t>desvío contra la línea base</w:t>
      </w:r>
      <w:r>
        <w:rPr>
          <w:rFonts w:ascii="Calibri" w:hAnsi="Calibri"/>
          <w:b w:val="0"/>
          <w:i w:val="0"/>
          <w:color w:val="1A2329"/>
          <w:sz w:val="22"/>
        </w:rPr>
        <w:t xml:space="preserve"> guardada, el </w:t>
      </w:r>
      <w:r>
        <w:rPr>
          <w:rFonts w:ascii="Calibri" w:hAnsi="Calibri"/>
          <w:b/>
          <w:i w:val="0"/>
          <w:color w:val="1A2329"/>
          <w:sz w:val="22"/>
        </w:rPr>
        <w:t>estado de cada hito</w:t>
      </w:r>
      <w:r>
        <w:rPr>
          <w:rFonts w:ascii="Calibri" w:hAnsi="Calibri"/>
          <w:b w:val="0"/>
          <w:i w:val="0"/>
          <w:color w:val="1A2329"/>
          <w:sz w:val="22"/>
        </w:rPr>
        <w:t xml:space="preserve"> (cumplido, cumplido con demora, en riesgo o pendiente) y la </w:t>
      </w:r>
      <w:r>
        <w:rPr>
          <w:rFonts w:ascii="Calibri" w:hAnsi="Calibri"/>
          <w:b/>
          <w:i w:val="0"/>
          <w:color w:val="1A2329"/>
          <w:sz w:val="22"/>
        </w:rPr>
        <w:t>ejecución de materiales</w:t>
      </w:r>
      <w:r>
        <w:rPr>
          <w:rFonts w:ascii="Calibri" w:hAnsi="Calibri"/>
          <w:b w:val="0"/>
          <w:i w:val="0"/>
          <w:color w:val="1A2329"/>
          <w:sz w:val="22"/>
        </w:rPr>
        <w:t xml:space="preserve"> frente al estimado, con un indicador de alineación entre lo recibido y el avance real. Cada bloque declara explícitamente si el dato está disponible y por qué no, en vez de mostrar un cero cuando no hay información suficiente —por ejemplo, sin línea base guardada el bloque correspondiente no se calcula, no se completa con ceros—. Para la </w:t>
      </w:r>
      <w:r>
        <w:rPr>
          <w:rFonts w:ascii="Calibri" w:hAnsi="Calibri"/>
          <w:b/>
          <w:i w:val="0"/>
          <w:color w:val="1A2329"/>
          <w:sz w:val="22"/>
        </w:rPr>
        <w:t>evolución histórica</w:t>
      </w:r>
      <w:r>
        <w:rPr>
          <w:rFonts w:ascii="Calibri" w:hAnsi="Calibri"/>
          <w:b w:val="0"/>
          <w:i w:val="0"/>
          <w:color w:val="1A2329"/>
          <w:sz w:val="22"/>
        </w:rPr>
        <w:t xml:space="preserve"> (curva de avance planificado vs. real en el tiempo) se agregó una tabla nueva (</w:t>
      </w:r>
      <w:r>
        <w:rPr>
          <w:rFonts w:ascii="Consolas" w:hAnsi="Consolas"/>
          <w:b w:val="0"/>
          <w:i w:val="0"/>
          <w:color w:val="1A2329"/>
          <w:sz w:val="21"/>
        </w:rPr>
        <w:t>obra_progress_daily</w:t>
      </w:r>
      <w:r>
        <w:rPr>
          <w:rFonts w:ascii="Calibri" w:hAnsi="Calibri"/>
          <w:b w:val="0"/>
          <w:i w:val="0"/>
          <w:color w:val="1A2329"/>
          <w:sz w:val="22"/>
        </w:rPr>
        <w:t>) que un job diario del planificador completa hacia adelante, sin reconstruir el pasado desde el historial de eventos por ser una operación frágil; el ajuste no fue trivial, porque el punto semanal del gráfico y la fila guardada por el job rara vez caen en la misma fecha exacta —se emparejan por cercanía, con una tolerancia de tres días—.</w:t>
      </w:r>
    </w:p>
    <w:p>
      <w:pPr>
        <w:spacing w:after="160" w:lineRule="auto" w:line="276"/>
        <w:jc w:val="both"/>
      </w:pPr>
      <w:r>
        <w:rPr>
          <w:rFonts w:ascii="Calibri" w:hAnsi="Calibri"/>
          <w:b w:val="0"/>
          <w:i w:val="0"/>
          <w:color w:val="1A2329"/>
          <w:sz w:val="22"/>
        </w:rPr>
        <w:t>Un acordeón colapsado por defecto (</w:t>
      </w:r>
      <w:r>
        <w:rPr>
          <w:rFonts w:ascii="Consolas" w:hAnsi="Consolas"/>
          <w:b w:val="0"/>
          <w:i w:val="0"/>
          <w:color w:val="1A2329"/>
          <w:sz w:val="21"/>
        </w:rPr>
        <w:t>GET /obras/{id}/dashboard/monthly-insights</w:t>
      </w:r>
      <w:r>
        <w:rPr>
          <w:rFonts w:ascii="Calibri" w:hAnsi="Calibri"/>
          <w:b w:val="0"/>
          <w:i w:val="0"/>
          <w:color w:val="1A2329"/>
          <w:sz w:val="22"/>
        </w:rPr>
        <w:t>) expone cinco métricas que el motor de estadísticas mensual (</w:t>
      </w:r>
      <w:r>
        <w:rPr>
          <w:rFonts w:ascii="Consolas" w:hAnsi="Consolas"/>
          <w:b w:val="0"/>
          <w:i w:val="0"/>
          <w:color w:val="1A2329"/>
          <w:sz w:val="21"/>
        </w:rPr>
        <w:t>ObraStatsService</w:t>
      </w:r>
      <w:r>
        <w:rPr>
          <w:rFonts w:ascii="Calibri" w:hAnsi="Calibri"/>
          <w:b w:val="0"/>
          <w:i w:val="0"/>
          <w:color w:val="1A2329"/>
          <w:sz w:val="22"/>
        </w:rPr>
        <w:t xml:space="preserve">) ya calculaba para alimentar el informe interno con IA, pero que hasta el 10/09/2026 nunca habían llegado a una pantalla: la </w:t>
      </w:r>
      <w:r>
        <w:rPr>
          <w:rFonts w:ascii="Calibri" w:hAnsi="Calibri"/>
          <w:b/>
          <w:i w:val="0"/>
          <w:color w:val="1A2329"/>
          <w:sz w:val="22"/>
        </w:rPr>
        <w:t>concentración de retrasos</w:t>
      </w:r>
      <w:r>
        <w:rPr>
          <w:rFonts w:ascii="Calibri" w:hAnsi="Calibri"/>
          <w:b w:val="0"/>
          <w:i w:val="0"/>
          <w:color w:val="1A2329"/>
          <w:sz w:val="22"/>
        </w:rPr>
        <w:t xml:space="preserve"> (regla 80/20, por tarea y por responsable; el detalle por responsable se filtra en el backend y solo se envía a usuarios administradores, para no convertir una herramienta de coordinación en una de evaluación de desempeño individual), la </w:t>
      </w:r>
      <w:r>
        <w:rPr>
          <w:rFonts w:ascii="Calibri" w:hAnsi="Calibri"/>
          <w:b/>
          <w:i w:val="0"/>
          <w:color w:val="1A2329"/>
          <w:sz w:val="22"/>
        </w:rPr>
        <w:t>precisión histórica de estimación</w:t>
      </w:r>
      <w:r>
        <w:rPr>
          <w:rFonts w:ascii="Calibri" w:hAnsi="Calibri"/>
          <w:b w:val="0"/>
          <w:i w:val="0"/>
          <w:color w:val="1A2329"/>
          <w:sz w:val="22"/>
        </w:rPr>
        <w:t xml:space="preserve"> por disciplina, la </w:t>
      </w:r>
      <w:r>
        <w:rPr>
          <w:rFonts w:ascii="Calibri" w:hAnsi="Calibri"/>
          <w:b/>
          <w:i w:val="0"/>
          <w:color w:val="1A2329"/>
          <w:sz w:val="22"/>
        </w:rPr>
        <w:t>evidencia de las tareas con mayor desvío</w:t>
      </w:r>
      <w:r>
        <w:rPr>
          <w:rFonts w:ascii="Calibri" w:hAnsi="Calibri"/>
          <w:b w:val="0"/>
          <w:i w:val="0"/>
          <w:color w:val="1A2329"/>
          <w:sz w:val="22"/>
        </w:rPr>
        <w:t xml:space="preserve"> (menciones de bitácora, alertas asociadas e impacto en cascada sobre tareas dependientes), los </w:t>
      </w:r>
      <w:r>
        <w:rPr>
          <w:rFonts w:ascii="Calibri" w:hAnsi="Calibri"/>
          <w:b/>
          <w:i w:val="0"/>
          <w:color w:val="1A2329"/>
          <w:sz w:val="22"/>
        </w:rPr>
        <w:t>temas recurrentes de bitácora</w:t>
      </w:r>
      <w:r>
        <w:rPr>
          <w:rFonts w:ascii="Calibri" w:hAnsi="Calibri"/>
          <w:b w:val="0"/>
          <w:i w:val="0"/>
          <w:color w:val="1A2329"/>
          <w:sz w:val="22"/>
        </w:rPr>
        <w:t xml:space="preserve"> (falta de material, clima, ausencia de personal, proveedor, problema técnico, equipos y seguridad) con su correlación temporal con retrasos posteriores, y la </w:t>
      </w:r>
      <w:r>
        <w:rPr>
          <w:rFonts w:ascii="Calibri" w:hAnsi="Calibri"/>
          <w:b/>
          <w:i w:val="0"/>
          <w:color w:val="1A2329"/>
          <w:sz w:val="22"/>
        </w:rPr>
        <w:t>velocidad de reacción a alertas</w:t>
      </w:r>
      <w:r>
        <w:rPr>
          <w:rFonts w:ascii="Calibri" w:hAnsi="Calibri"/>
          <w:b w:val="0"/>
          <w:i w:val="0"/>
          <w:color w:val="1A2329"/>
          <w:sz w:val="22"/>
        </w:rPr>
        <w:t xml:space="preserve"> por tipo. A diferencia de la concentración por responsable, estas tres últimas no traen ranking por persona y viajan igual para todos los roles; la de evidencia de desvíos sí omite deliberadamente el responsable de la tarea en lo que se muestra en pantalla —mismo criterio que la concentración por responsable, pero resuelto en el propio recorte de datos en vez de un filtro por rol—, porque es evidencia sobre una tarea y no un señalamiento de quién la causó. Para evitar que una correlación estadísticamente vacía se lea como un patrón, el porcentaje de correlación de un tema de bitácora solo se muestra a partir de tres menciones; por debajo, se muestra el conteo crudo.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619 tests distribuidos en 55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entre ellos los cinco del dashboard de indicadores (</w:t>
      </w:r>
      <w:r>
        <w:rPr>
          <w:rFonts w:ascii="Consolas" w:hAnsi="Consolas"/>
          <w:b w:val="0"/>
          <w:i w:val="0"/>
          <w:color w:val="1A2329"/>
          <w:sz w:val="21"/>
        </w:rPr>
        <w:t>test_dashboard_calc.py</w:t>
      </w:r>
      <w:r>
        <w:rPr>
          <w:rFonts w:ascii="Calibri" w:hAnsi="Calibri"/>
          <w:b w:val="0"/>
          <w:i w:val="0"/>
          <w:color w:val="1A2329"/>
          <w:sz w:val="22"/>
        </w:rPr>
        <w:t xml:space="preserve">, </w:t>
      </w:r>
      <w:r>
        <w:rPr>
          <w:rFonts w:ascii="Consolas" w:hAnsi="Consolas"/>
          <w:b w:val="0"/>
          <w:i w:val="0"/>
          <w:color w:val="1A2329"/>
          <w:sz w:val="21"/>
        </w:rPr>
        <w:t>test_obra_dashboard.py</w:t>
      </w:r>
      <w:r>
        <w:rPr>
          <w:rFonts w:ascii="Calibri" w:hAnsi="Calibri"/>
          <w:b w:val="0"/>
          <w:i w:val="0"/>
          <w:color w:val="1A2329"/>
          <w:sz w:val="22"/>
        </w:rPr>
        <w:t xml:space="preserve">, </w:t>
      </w:r>
      <w:r>
        <w:rPr>
          <w:rFonts w:ascii="Consolas" w:hAnsi="Consolas"/>
          <w:b w:val="0"/>
          <w:i w:val="0"/>
          <w:color w:val="1A2329"/>
          <w:sz w:val="21"/>
        </w:rPr>
        <w:t>test_obra_progress_daily.py</w:t>
      </w:r>
      <w:r>
        <w:rPr>
          <w:rFonts w:ascii="Calibri" w:hAnsi="Calibri"/>
          <w:b w:val="0"/>
          <w:i w:val="0"/>
          <w:color w:val="1A2329"/>
          <w:sz w:val="22"/>
        </w:rPr>
        <w:t xml:space="preserve">, </w:t>
      </w:r>
      <w:r>
        <w:rPr>
          <w:rFonts w:ascii="Consolas" w:hAnsi="Consolas"/>
          <w:b w:val="0"/>
          <w:i w:val="0"/>
          <w:color w:val="1A2329"/>
          <w:sz w:val="21"/>
        </w:rPr>
        <w:t>test_curva_s.py</w:t>
      </w:r>
      <w:r>
        <w:rPr>
          <w:rFonts w:ascii="Calibri" w:hAnsi="Calibri"/>
          <w:b w:val="0"/>
          <w:i w:val="0"/>
          <w:color w:val="1A2329"/>
          <w:sz w:val="22"/>
        </w:rPr>
        <w:t xml:space="preserve">, </w:t>
      </w:r>
      <w:r>
        <w:rPr>
          <w:rFonts w:ascii="Consolas" w:hAnsi="Consolas"/>
          <w:b w:val="0"/>
          <w:i w:val="0"/>
          <w:color w:val="1A2329"/>
          <w:sz w:val="21"/>
        </w:rPr>
        <w:t>test_monthly_insights.py</w:t>
      </w:r>
      <w:r>
        <w:rPr>
          <w:rFonts w:ascii="Calibri" w:hAnsi="Calibri"/>
          <w:b w:val="0"/>
          <w:i w:val="0"/>
          <w:color w:val="1A2329"/>
          <w:sz w:val="22"/>
        </w:rPr>
        <w:t xml:space="preserve"> — este último extendido el 10/09/2026 para cubrir la evidencia de desvíos, los temas de bitácora y la reacción a alertas del acordeón mensual, sin sumar archivos nuevos) y la resolución de identidad por número de WhatsApp (</w:t>
      </w:r>
      <w:r>
        <w:rPr>
          <w:rFonts w:ascii="Consolas" w:hAnsi="Consolas"/>
          <w:b w:val="0"/>
          <w:i w:val="0"/>
          <w:color w:val="1A2329"/>
          <w:sz w:val="21"/>
        </w:rPr>
        <w:t>test_liberar_numero_whatsapp.py</w:t>
      </w:r>
      <w:r>
        <w:rPr>
          <w:rFonts w:ascii="Calibri" w:hAnsi="Calibri"/>
          <w:b w:val="0"/>
          <w:i w:val="0"/>
          <w:color w:val="1A2329"/>
          <w:sz w:val="22"/>
        </w:rPr>
        <w:t xml:space="preserve">, incorporado el 11/09/2026 a raíz de un caso de uso real: un número dado de baja como responsable quedaba bloqueado para siempre y no podía reutilizarse para el personal de la empresa).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r>
        <w:tc>
          <w:tcPr>
            <w:tcW w:type="dxa" w:w="3120"/>
            <w:shd w:val="clear" w:fill="F6F7F6"/>
          </w:tcPr>
          <w:p>
            <w:r/>
            <w:r>
              <w:rPr>
                <w:rFonts w:ascii="Calibri" w:hAnsi="Calibri"/>
                <w:b w:val="0"/>
                <w:i w:val="0"/>
                <w:color w:val="1A2329"/>
                <w:sz w:val="20"/>
              </w:rPr>
              <w:t>Avance ponderado sin línea base</w:t>
            </w:r>
          </w:p>
        </w:tc>
        <w:tc>
          <w:tcPr>
            <w:tcW w:type="dxa" w:w="3120"/>
            <w:shd w:val="clear" w:fill="F6F7F6"/>
          </w:tcPr>
          <w:p>
            <w:r/>
            <w:r>
              <w:rPr>
                <w:rFonts w:ascii="Calibri" w:hAnsi="Calibri"/>
                <w:b w:val="0"/>
                <w:i w:val="0"/>
                <w:color w:val="1A2329"/>
                <w:sz w:val="20"/>
              </w:rPr>
              <w:t>Consultar el panel de una obra sin línea base guardada</w:t>
            </w:r>
          </w:p>
        </w:tc>
        <w:tc>
          <w:tcPr>
            <w:tcW w:type="dxa" w:w="3120"/>
            <w:shd w:val="clear" w:fill="F6F7F6"/>
          </w:tcPr>
          <w:p>
            <w:r/>
            <w:r>
              <w:rPr>
                <w:rFonts w:ascii="Calibri" w:hAnsi="Calibri"/>
                <w:b w:val="0"/>
                <w:i w:val="0"/>
                <w:color w:val="1A2329"/>
                <w:sz w:val="20"/>
              </w:rPr>
              <w:t>El bloque de línea base indica que no está disponible y por qué, en vez de mostrar un desvío de 0 días.</w:t>
            </w:r>
          </w:p>
        </w:tc>
      </w:tr>
      <w:tr>
        <w:tc>
          <w:tcPr>
            <w:tcW w:type="dxa" w:w="3120"/>
          </w:tcPr>
          <w:p>
            <w:r/>
            <w:r>
              <w:rPr>
                <w:rFonts w:ascii="Calibri" w:hAnsi="Calibri"/>
                <w:b w:val="0"/>
                <w:i w:val="0"/>
                <w:color w:val="1A2329"/>
                <w:sz w:val="20"/>
              </w:rPr>
              <w:t>SPI en cero sin avance</w:t>
            </w:r>
          </w:p>
        </w:tc>
        <w:tc>
          <w:tcPr>
            <w:tcW w:type="dxa" w:w="3120"/>
          </w:tcPr>
          <w:p>
            <w:r/>
            <w:r>
              <w:rPr>
                <w:rFonts w:ascii="Calibri" w:hAnsi="Calibri"/>
                <w:b w:val="0"/>
                <w:i w:val="0"/>
                <w:color w:val="1A2329"/>
                <w:sz w:val="20"/>
              </w:rPr>
              <w:t>Consultar el panel de una obra con una tarea sin ningún avance pero con plan ya arrancado</w:t>
            </w:r>
          </w:p>
        </w:tc>
        <w:tc>
          <w:tcPr>
            <w:tcW w:type="dxa" w:w="3120"/>
          </w:tcPr>
          <w:p>
            <w:r/>
            <w:r>
              <w:rPr>
                <w:rFonts w:ascii="Calibri" w:hAnsi="Calibri"/>
                <w:b w:val="0"/>
                <w:i w:val="0"/>
                <w:color w:val="1A2329"/>
                <w:sz w:val="20"/>
              </w:rPr>
              <w:t>El SPI se calcula en 0.0 (no como error) y la fecha de fin proyectada se oculta por no ser confiable, en vez de dividir por cero.</w:t>
            </w:r>
          </w:p>
        </w:tc>
      </w:tr>
      <w:tr>
        <w:tc>
          <w:tcPr>
            <w:tcW w:type="dxa" w:w="3120"/>
            <w:shd w:val="clear" w:fill="F6F7F6"/>
          </w:tcPr>
          <w:p>
            <w:r/>
            <w:r>
              <w:rPr>
                <w:rFonts w:ascii="Calibri" w:hAnsi="Calibri"/>
                <w:b w:val="0"/>
                <w:i w:val="0"/>
                <w:color w:val="1A2329"/>
                <w:sz w:val="20"/>
              </w:rPr>
              <w:t>Curva de avance con tracking desalineado</w:t>
            </w:r>
          </w:p>
        </w:tc>
        <w:tc>
          <w:tcPr>
            <w:tcW w:type="dxa" w:w="3120"/>
            <w:shd w:val="clear" w:fill="F6F7F6"/>
          </w:tcPr>
          <w:p>
            <w:r/>
            <w:r>
              <w:rPr>
                <w:rFonts w:ascii="Calibri" w:hAnsi="Calibri"/>
                <w:b w:val="0"/>
                <w:i w:val="0"/>
                <w:color w:val="1A2329"/>
                <w:sz w:val="20"/>
              </w:rPr>
              <w:t>Consultar la curva de una obra cuyo job diario arrancó a trackear en un día de la semana distinto al de inicio de la obra</w:t>
            </w:r>
          </w:p>
        </w:tc>
        <w:tc>
          <w:tcPr>
            <w:tcW w:type="dxa" w:w="3120"/>
            <w:shd w:val="clear" w:fill="F6F7F6"/>
          </w:tcPr>
          <w:p>
            <w:r/>
            <w:r>
              <w:rPr>
                <w:rFonts w:ascii="Calibri" w:hAnsi="Calibri"/>
                <w:b w:val="0"/>
                <w:i w:val="0"/>
                <w:color w:val="1A2329"/>
                <w:sz w:val="20"/>
              </w:rPr>
              <w:t>Cada punto semanal del gráfico muestra el valor real más cercano dentro de una tolerancia de tres días, en vez de quedar vacío por no coincidir la fecha exacta.</w:t>
            </w:r>
          </w:p>
        </w:tc>
      </w:tr>
      <w:tr>
        <w:tc>
          <w:tcPr>
            <w:tcW w:type="dxa" w:w="3120"/>
          </w:tcPr>
          <w:p>
            <w:r/>
            <w:r>
              <w:rPr>
                <w:rFonts w:ascii="Calibri" w:hAnsi="Calibri"/>
                <w:b w:val="0"/>
                <w:i w:val="0"/>
                <w:color w:val="1A2329"/>
                <w:sz w:val="20"/>
              </w:rPr>
              <w:t>Evidencia de desvíos por rol</w:t>
            </w:r>
          </w:p>
        </w:tc>
        <w:tc>
          <w:tcPr>
            <w:tcW w:type="dxa" w:w="3120"/>
          </w:tcPr>
          <w:p>
            <w:r/>
            <w:r>
              <w:rPr>
                <w:rFonts w:ascii="Calibri" w:hAnsi="Calibri"/>
                <w:b w:val="0"/>
                <w:i w:val="0"/>
                <w:color w:val="1A2329"/>
                <w:sz w:val="20"/>
              </w:rPr>
              <w:t>Consultar el acordeón mensual con un usuario administrador y con uno colaborador</w:t>
            </w:r>
          </w:p>
        </w:tc>
        <w:tc>
          <w:tcPr>
            <w:tcW w:type="dxa" w:w="3120"/>
          </w:tcPr>
          <w:p>
            <w:r/>
            <w:r>
              <w:rPr>
                <w:rFonts w:ascii="Calibri" w:hAnsi="Calibri"/>
                <w:b w:val="0"/>
                <w:i w:val="0"/>
                <w:color w:val="1A2329"/>
                <w:sz w:val="20"/>
              </w:rPr>
              <w:t>La evidencia de desvíos, los temas de bitácora y la reacción a alertas viajan igual para ambos roles; solo el ranking de concentración por responsable se omite para el colaborador.</w:t>
            </w:r>
          </w:p>
        </w:tc>
      </w:tr>
      <w:tr>
        <w:tc>
          <w:tcPr>
            <w:tcW w:type="dxa" w:w="3120"/>
            <w:shd w:val="clear" w:fill="F6F7F6"/>
          </w:tcPr>
          <w:p>
            <w:r/>
            <w:r>
              <w:rPr>
                <w:rFonts w:ascii="Calibri" w:hAnsi="Calibri"/>
                <w:b w:val="0"/>
                <w:i w:val="0"/>
                <w:color w:val="1A2329"/>
                <w:sz w:val="20"/>
              </w:rPr>
              <w:t>Tema de bitácora con muestra chica</w:t>
            </w:r>
          </w:p>
        </w:tc>
        <w:tc>
          <w:tcPr>
            <w:tcW w:type="dxa" w:w="3120"/>
            <w:shd w:val="clear" w:fill="F6F7F6"/>
          </w:tcPr>
          <w:p>
            <w:r/>
            <w:r>
              <w:rPr>
                <w:rFonts w:ascii="Calibri" w:hAnsi="Calibri"/>
                <w:b w:val="0"/>
                <w:i w:val="0"/>
                <w:color w:val="1A2329"/>
                <w:sz w:val="20"/>
              </w:rPr>
              <w:t>Una categoría de bitácora con una sola mención seguida de un retraso</w:t>
            </w:r>
          </w:p>
        </w:tc>
        <w:tc>
          <w:tcPr>
            <w:tcW w:type="dxa" w:w="3120"/>
            <w:shd w:val="clear" w:fill="F6F7F6"/>
          </w:tcPr>
          <w:p>
            <w:r/>
            <w:r>
              <w:rPr>
                <w:rFonts w:ascii="Calibri" w:hAnsi="Calibri"/>
                <w:b w:val="0"/>
                <w:i w:val="0"/>
                <w:color w:val="1A2329"/>
                <w:sz w:val="20"/>
              </w:rPr>
              <w:t>El panel muestra el conteo crudo ("1 mención, 1 con retraso después") en vez de un porcentaje de correlación del 100%.</w:t>
            </w:r>
          </w:p>
        </w:tc>
      </w:tr>
      <w:tr>
        <w:tc>
          <w:tcPr>
            <w:tcW w:type="dxa" w:w="3120"/>
          </w:tcPr>
          <w:p>
            <w:r/>
            <w:r>
              <w:rPr>
                <w:rFonts w:ascii="Calibri" w:hAnsi="Calibri"/>
                <w:b w:val="0"/>
                <w:i w:val="0"/>
                <w:color w:val="1A2329"/>
                <w:sz w:val="20"/>
              </w:rPr>
              <w:t>Análisis mensual por rol</w:t>
            </w:r>
          </w:p>
        </w:tc>
        <w:tc>
          <w:tcPr>
            <w:tcW w:type="dxa" w:w="3120"/>
          </w:tcPr>
          <w:p>
            <w:r/>
            <w:r>
              <w:rPr>
                <w:rFonts w:ascii="Calibri" w:hAnsi="Calibri"/>
                <w:b w:val="0"/>
                <w:i w:val="0"/>
                <w:color w:val="1A2329"/>
                <w:sz w:val="20"/>
              </w:rPr>
              <w:t>Consultar el acordeón de análisis del período con un usuario administrador y con uno colaborador</w:t>
            </w:r>
          </w:p>
        </w:tc>
        <w:tc>
          <w:tcPr>
            <w:tcW w:type="dxa" w:w="3120"/>
          </w:tcPr>
          <w:p>
            <w:r/>
            <w:r>
              <w:rPr>
                <w:rFonts w:ascii="Calibri" w:hAnsi="Calibri"/>
                <w:b w:val="0"/>
                <w:i w:val="0"/>
                <w:color w:val="1A2329"/>
                <w:sz w:val="20"/>
              </w:rPr>
              <w:t>El ranking de retraso por tarea se muestra a ambos; el ranking por responsable solo llega en la respuesta del administrador.</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619 tests automatizados (</w:t>
      </w:r>
      <w:r>
        <w:rPr>
          <w:rFonts w:ascii="Calibri" w:hAnsi="Calibri"/>
          <w:b w:val="0"/>
          <w:i/>
          <w:color w:val="3E4A52"/>
          <w:sz w:val="21"/>
        </w:rPr>
        <w:t>pytest</w:t>
      </w:r>
      <w:r>
        <w:rPr>
          <w:rFonts w:ascii="Calibri" w:hAnsi="Calibri"/>
          <w:b w:val="0"/>
          <w:i/>
          <w:color w:val="3E4A52"/>
          <w:sz w:val="21"/>
        </w:rPr>
        <w:t>, 55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Lectura honesta del avance:</w:t>
      </w:r>
      <w:r>
        <w:rPr>
          <w:rFonts w:ascii="Calibri" w:hAnsi="Calibri"/>
          <w:b w:val="0"/>
          <w:i w:val="0"/>
          <w:color w:val="1A2329"/>
          <w:sz w:val="22"/>
        </w:rPr>
        <w:t xml:space="preserve"> el panel de obra reemplaza el conteo simple de tareas completadas por un avance ponderado por duración, un índice de desempeño del cronograma (SPI) y una fecha de fin proyectada, de modo que una obra con tareas grandes sin terminar ya no aparece más avanzada de lo que está.</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(559 tests con </w:t>
      </w:r>
      <w:r>
        <w:rPr>
          <w:rFonts w:ascii="Calibri" w:hAnsi="Calibri"/>
          <w:b w:val="0"/>
          <w:i/>
          <w:color w:val="1A2329"/>
          <w:sz w:val="22"/>
        </w:rPr>
        <w:t>pytest</w:t>
      </w:r>
      <w:r>
        <w:rPr>
          <w:rFonts w:ascii="Calibri" w:hAnsi="Calibri"/>
          <w:b w:val="0"/>
          <w:i w:val="0"/>
          <w:color w:val="1A2329"/>
          <w:sz w:val="22"/>
        </w:rPr>
        <w:t xml:space="preserve"> en 49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