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Las sugerencias son una entidad propia del dominio (tabla </w:t>
            </w:r>
            <w:r>
              <w:rPr>
                <w:rFonts w:ascii="Consolas" w:hAnsi="Consolas"/>
                <w:b w:val="0"/>
                <w:i w:val="0"/>
                <w:color w:val="1A2329"/>
                <w:sz w:val="19"/>
              </w:rPr>
              <w:t>suggestions</w:t>
            </w:r>
            <w:r>
              <w:rPr>
                <w:rFonts w:ascii="Calibri" w:hAnsi="Calibri"/>
                <w:b w:val="0"/>
                <w:i w:val="0"/>
                <w:color w:val="1A2329"/>
                <w:sz w:val="20"/>
              </w:rPr>
              <w:t xml:space="preserve">, migración 0072), no un objeto anidado en la nota: se consultan y se resuelven por identificador desde cualquier pantalla. Navegación completa en las dos direcciones —desde una tarea se ven las notas que la modificaron y las propuestas pendientes sobre ella, y se aplican sin salir de la tarea—.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Ninguno relevante. La sugerencia sigue mostrando el nombre de la tarea como texto plano dentro de la bitácora, pero la navegación que esa brecha bloqueaba quedó resuelta por el otro extremo: la propuesta aparece dentro de la tarea.</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521 tests distribuidos en 46 archivos (ejecutados en integración continua), que cubren aislamiento por tenant, autenticación, rate limiting e importaciones, sumados a 25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y resumen) y </w:t>
      </w:r>
      <w:r>
        <w:rPr>
          <w:rFonts w:ascii="Consolas" w:hAnsi="Consolas"/>
          <w:b w:val="0"/>
          <w:i w:val="0"/>
          <w:color w:val="1A2329"/>
          <w:sz w:val="21"/>
        </w:rPr>
        <w:t>suggestions</w:t>
      </w:r>
      <w:r>
        <w:rPr>
          <w:rFonts w:ascii="Calibri" w:hAnsi="Calibri"/>
          <w:b w:val="0"/>
          <w:i w:val="0"/>
          <w:color w:val="1A2329"/>
          <w:sz w:val="22"/>
        </w:rPr>
        <w:t xml:space="preserve"> (las acciones propuestas por la IA sobre el plan, con su origen y su estado de resolución),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spacing w:after="160" w:lineRule="auto" w:line="276"/>
        <w:jc w:val="both"/>
      </w:pPr>
      <w:r>
        <w:rPr>
          <w:rFonts w:ascii="Calibri" w:hAnsi="Calibri"/>
          <w:b w:val="0"/>
          <w:i w:val="0"/>
          <w:color w:val="1A2329"/>
          <w:sz w:val="22"/>
        </w:rPr>
        <w:t xml:space="preserve">El asistente de WhatsApp opera con dos canales de forma deliberadamente distinta según quién escribe. El personal administrativo envía </w:t>
      </w:r>
      <w:r>
        <w:rPr>
          <w:rFonts w:ascii="Calibri" w:hAnsi="Calibri"/>
          <w:b/>
          <w:i w:val="0"/>
          <w:color w:val="1A2329"/>
          <w:sz w:val="22"/>
        </w:rPr>
        <w:t>notas de voz</w:t>
      </w:r>
      <w:r>
        <w:rPr>
          <w:rFonts w:ascii="Calibri" w:hAnsi="Calibri"/>
          <w:b w:val="0"/>
          <w:i w:val="0"/>
          <w:color w:val="1A2329"/>
          <w:sz w:val="22"/>
        </w:rPr>
        <w:t xml:space="preserve"> que alimentan la bitácora con IA: recorre la obra, registra lo relevante sin estructura y organiza después desde el escritorio. Los responsables de tarea operan con un </w:t>
      </w:r>
      <w:r>
        <w:rPr>
          <w:rFonts w:ascii="Calibri" w:hAnsi="Calibri"/>
          <w:b/>
          <w:i w:val="0"/>
          <w:color w:val="1A2329"/>
          <w:sz w:val="22"/>
        </w:rPr>
        <w:t>menú numérico</w:t>
      </w:r>
      <w:r>
        <w:rPr>
          <w:rFonts w:ascii="Calibri" w:hAnsi="Calibri"/>
          <w:b w:val="0"/>
          <w:i w:val="0"/>
          <w:color w:val="1A2329"/>
          <w:sz w:val="22"/>
        </w:rPr>
        <w:t xml:space="preserve">, que no exige redactar ni interpretar y se responde con una sola mano en condiciones de obra. Esa asimetría concentra además el costo y el margen de error del modelo de lenguaje en el único canal donde una persona revisa antes de que algo modifique el plan. Al informar una tarea bloqueada, el menú solicita también el </w:t>
      </w:r>
      <w:r>
        <w:rPr>
          <w:rFonts w:ascii="Calibri" w:hAnsi="Calibri"/>
          <w:b/>
          <w:i w:val="0"/>
          <w:color w:val="1A2329"/>
          <w:sz w:val="22"/>
        </w:rPr>
        <w:t>motivo</w:t>
      </w:r>
      <w:r>
        <w:rPr>
          <w:rFonts w:ascii="Calibri" w:hAnsi="Calibri"/>
          <w:b w:val="0"/>
          <w:i w:val="0"/>
          <w:color w:val="1A2329"/>
          <w:sz w:val="22"/>
        </w:rPr>
        <w:t xml:space="preserve"> entre opciones predefinidas (falta de material, de personal, clima, dependencia de otra tarea): el bloqueo se registra primero y el motivo se incorpora después al historial y a la alerta, de modo que una conversación interrumpida no haga perder el reporte de campo.</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una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Un hallazgo del uso real motivó una regla adicional: en la jerga de obra, 'correr la fecha para atrás', 'para adelante' y 'patearla' se emplean de forma contradictoria según el hablante, y una interpretación literal producía reprogramaciones en el sentido opuesto al pedido. La ambigüedad se resuelve por la </w:t>
      </w:r>
      <w:r>
        <w:rPr>
          <w:rFonts w:ascii="Calibri" w:hAnsi="Calibri"/>
          <w:b/>
          <w:i w:val="0"/>
          <w:color w:val="1A2329"/>
          <w:sz w:val="22"/>
        </w:rPr>
        <w:t>causa</w:t>
      </w:r>
      <w:r>
        <w:rPr>
          <w:rFonts w:ascii="Calibri" w:hAnsi="Calibri"/>
          <w:b w:val="0"/>
          <w:i w:val="0"/>
          <w:color w:val="1A2329"/>
          <w:sz w:val="22"/>
        </w:rPr>
        <w:t xml:space="preserve"> y no por el verbo: si el motivo declarado es una demora (lluvia, material que no llegó, proveedor atrasado), la fecha solo puede desplazarse hacia adelante en el tiempo; si la dirección no queda determinada, el sistema registra una nota en lugar de proponer una reprogramación. Por la misma razón se le retiró al modelo el </w:t>
      </w:r>
      <w:r>
        <w:rPr>
          <w:rFonts w:ascii="Calibri" w:hAnsi="Calibri"/>
          <w:b/>
          <w:i w:val="0"/>
          <w:color w:val="1A2329"/>
          <w:sz w:val="22"/>
        </w:rPr>
        <w:t>cálculo de fechas</w:t>
      </w:r>
      <w:r>
        <w:rPr>
          <w:rFonts w:ascii="Calibri" w:hAnsi="Calibri"/>
          <w:b w:val="0"/>
          <w:i w:val="0"/>
          <w:color w:val="1A2329"/>
          <w:sz w:val="22"/>
        </w:rPr>
        <w:t xml:space="preserve">: contar días hábiles salteando fines de semana y feriados es una operación determinística sobre datos que el modelo no posee —los días no laborables propios de cada obra viven en la base—, y al hacerla producía desvíos de uno o dos días. El modelo declara ahora el corrimiento en días laborales y el backend calcula la fecha resultante contra el calendario de la obra; solo se acepta una fecha del modelo cuando el audio la nombra explícitamente. El resultado es, además, verificable por pruebas automatizadas, cosa que no era posible mientras la cuenta ocurría dentro de la llamada al modelo.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Las sugerencias de IA como funcionalidad transversal:</w:t>
      </w:r>
      <w:r>
        <w:rPr>
          <w:rFonts w:ascii="Calibri" w:hAnsi="Calibri"/>
          <w:b w:val="0"/>
          <w:i w:val="0"/>
          <w:color w:val="1A2329"/>
          <w:sz w:val="22"/>
        </w:rPr>
        <w:t xml:space="preserve"> las acciones que el modelo propone sobre el plan no pertenecen a la pantalla que las originó. Inicialmente se almacenaban como objetos anidados dentro del registro de la nota de voz y se resolvían por su posición en esa lista, lo que las ataba a un único módulo: no era posible consultarlas por tarea ni resolverlas desde otra pantalla. Se las promovió a </w:t>
      </w:r>
      <w:r>
        <w:rPr>
          <w:rFonts w:ascii="Calibri" w:hAnsi="Calibri"/>
          <w:b/>
          <w:i w:val="0"/>
          <w:color w:val="1A2329"/>
          <w:sz w:val="22"/>
        </w:rPr>
        <w:t>entidad del dominio</w:t>
      </w:r>
      <w:r>
        <w:rPr>
          <w:rFonts w:ascii="Calibri" w:hAnsi="Calibri"/>
          <w:b w:val="0"/>
          <w:i w:val="0"/>
          <w:color w:val="1A2329"/>
          <w:sz w:val="22"/>
        </w:rPr>
        <w:t xml:space="preserve"> —tabla propia con identificador estable, estado (</w:t>
      </w:r>
      <w:r>
        <w:rPr>
          <w:rFonts w:ascii="Consolas" w:hAnsi="Consolas"/>
          <w:b w:val="0"/>
          <w:i w:val="0"/>
          <w:color w:val="1A2329"/>
          <w:sz w:val="21"/>
        </w:rPr>
        <w:t>pendiente</w:t>
      </w:r>
      <w:r>
        <w:rPr>
          <w:rFonts w:ascii="Calibri" w:hAnsi="Calibri"/>
          <w:b w:val="0"/>
          <w:i w:val="0"/>
          <w:color w:val="1A2329"/>
          <w:sz w:val="22"/>
        </w:rPr>
        <w:t>/</w:t>
      </w:r>
      <w:r>
        <w:rPr>
          <w:rFonts w:ascii="Consolas" w:hAnsi="Consolas"/>
          <w:b w:val="0"/>
          <w:i w:val="0"/>
          <w:color w:val="1A2329"/>
          <w:sz w:val="21"/>
        </w:rPr>
        <w:t>aplicada</w:t>
      </w:r>
      <w:r>
        <w:rPr>
          <w:rFonts w:ascii="Calibri" w:hAnsi="Calibri"/>
          <w:b w:val="0"/>
          <w:i w:val="0"/>
          <w:color w:val="1A2329"/>
          <w:sz w:val="22"/>
        </w:rPr>
        <w:t>/</w:t>
      </w:r>
      <w:r>
        <w:rPr>
          <w:rFonts w:ascii="Consolas" w:hAnsi="Consolas"/>
          <w:b w:val="0"/>
          <w:i w:val="0"/>
          <w:color w:val="1A2329"/>
          <w:sz w:val="21"/>
        </w:rPr>
        <w:t>descartada</w:t>
      </w:r>
      <w:r>
        <w:rPr>
          <w:rFonts w:ascii="Calibri" w:hAnsi="Calibri"/>
          <w:b w:val="0"/>
          <w:i w:val="0"/>
          <w:color w:val="1A2329"/>
          <w:sz w:val="22"/>
        </w:rPr>
        <w:t>) y registro de quién resolvió y cuándo— junto con un servicio dedicado que es el único responsable de aplicarlas, venga la orden de donde venga. El origen quedó modelado como un atributo (</w:t>
      </w:r>
      <w:r>
        <w:rPr>
          <w:rFonts w:ascii="Consolas" w:hAnsi="Consolas"/>
          <w:b w:val="0"/>
          <w:i w:val="0"/>
          <w:color w:val="1A2329"/>
          <w:sz w:val="21"/>
        </w:rPr>
        <w:t>source</w:t>
      </w:r>
      <w:r>
        <w:rPr>
          <w:rFonts w:ascii="Calibri" w:hAnsi="Calibri"/>
          <w:b w:val="0"/>
          <w:i w:val="0"/>
          <w:color w:val="1A2329"/>
          <w:sz w:val="22"/>
        </w:rPr>
        <w:t xml:space="preserve">) y no como propietario, de modo que una fuente futura —un mensaje de texto, un análisis de riesgo— no obliga a modificar a quien las consume. El efecto visible para el usuario es que </w:t>
      </w:r>
      <w:r>
        <w:rPr>
          <w:rFonts w:ascii="Calibri" w:hAnsi="Calibri"/>
          <w:b/>
          <w:i w:val="0"/>
          <w:color w:val="1A2329"/>
          <w:sz w:val="22"/>
        </w:rPr>
        <w:t>la propuesta aparece dentro de la tarea que quiere modificar</w:t>
      </w:r>
      <w:r>
        <w:rPr>
          <w:rFonts w:ascii="Calibri" w:hAnsi="Calibri"/>
          <w:b w:val="0"/>
          <w:i w:val="0"/>
          <w:color w:val="1A2329"/>
          <w:sz w:val="22"/>
        </w:rPr>
        <w:t>, con el contexto de su origen (quién la reportó y el resumen de la nota), y se aplica o se descarta ahí mismo, sin tener que recordar que existe el módulo de bitácora ni buscar la nota correspondiente.</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554 tests distribuidos en 50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xml:space="preserve">, importaciones, robustez de infraestructura y un archivo por módulo auditado.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521 tests automatizados (</w:t>
      </w:r>
      <w:r>
        <w:rPr>
          <w:rFonts w:ascii="Calibri" w:hAnsi="Calibri"/>
          <w:b w:val="0"/>
          <w:i/>
          <w:color w:val="3E4A52"/>
          <w:sz w:val="21"/>
        </w:rPr>
        <w:t>pytest</w:t>
      </w:r>
      <w:r>
        <w:rPr>
          <w:rFonts w:ascii="Calibri" w:hAnsi="Calibri"/>
          <w:b w:val="0"/>
          <w:i/>
          <w:color w:val="3E4A52"/>
          <w:sz w:val="21"/>
        </w:rPr>
        <w:t>, 46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(521 tests con </w:t>
      </w:r>
      <w:r>
        <w:rPr>
          <w:rFonts w:ascii="Calibri" w:hAnsi="Calibri"/>
          <w:b w:val="0"/>
          <w:i/>
          <w:color w:val="1A2329"/>
          <w:sz w:val="22"/>
        </w:rPr>
        <w:t>pytest</w:t>
      </w:r>
      <w:r>
        <w:rPr>
          <w:rFonts w:ascii="Calibri" w:hAnsi="Calibri"/>
          <w:b w:val="0"/>
          <w:i w:val="0"/>
          <w:color w:val="1A2329"/>
          <w:sz w:val="22"/>
        </w:rPr>
        <w:t xml:space="preserve"> en 46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