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 xml:space="preserve">Servicio de evaluación de riesgos (reactivo al abrir una obra y periódico cada 4 horas para obras sin tráfico), 6 tipos de alerta con auto-resolución cuando la condición que las disparó desaparece, emisión en tiempo real por Socket.IO, traza en el historial. Auditoría dedicada en </w:t>
            </w:r>
            <w:r>
              <w:rPr>
                <w:rFonts w:ascii="Consolas" w:hAnsi="Consolas"/>
                <w:b w:val="0"/>
                <w:i w:val="0"/>
                <w:color w:val="1A2329"/>
                <w:sz w:val="19"/>
              </w:rPr>
              <w:t>docs/auditoria/06-alertas.md</w:t>
            </w:r>
            <w:r>
              <w:rPr>
                <w:rFonts w:ascii="Calibri" w:hAnsi="Calibri"/>
                <w:b w:val="0"/>
                <w:i w:val="0"/>
                <w:color w:val="1A2329"/>
                <w:sz w:val="20"/>
              </w:rPr>
              <w:t>, cerrada el 26/08/2026.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pero quien lo solicite desde el campo no lo recibe. La compresión automática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cuarenta y cuatro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(cuarenta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La planilla replica la experiencia de una hoja de cálculo real: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anclado al cursor) que revela más o menos celdas, una </w:t>
      </w:r>
      <w:r>
        <w:rPr>
          <w:rFonts w:ascii="Calibri" w:hAnsi="Calibri"/>
          <w:b/>
          <w:i w:val="0"/>
          <w:color w:val="1A2329"/>
          <w:sz w:val="22"/>
        </w:rPr>
        <w:t>grilla que se extiende más allá de los datos</w:t>
      </w:r>
      <w:r>
        <w:rPr>
          <w:rFonts w:ascii="Calibri" w:hAnsi="Calibri"/>
          <w:b w:val="0"/>
          <w:i w:val="0"/>
          <w:color w:val="1A2329"/>
          <w:sz w:val="22"/>
        </w:rPr>
        <w:t xml:space="preserve"> —con desplazamiento hacia celdas vacías como en una hoja de cálculo—, alta de tareas escribiendo directamente sobre cualquier celda vacía e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dependencias</w:t>
      </w:r>
      <w:r>
        <w:rPr>
          <w:rFonts w:ascii="Calibri" w:hAnsi="Calibri"/>
          <w:b w:val="0"/>
          <w:i w:val="0"/>
          <w:color w:val="1A2329"/>
          <w:sz w:val="22"/>
        </w:rPr>
        <w:t xml:space="preserve"> y </w:t>
      </w:r>
      <w:r>
        <w:rPr>
          <w:rFonts w:ascii="Calibri" w:hAnsi="Calibri"/>
          <w:b/>
          <w:i w:val="0"/>
          <w:color w:val="1A2329"/>
          <w:sz w:val="22"/>
        </w:rPr>
        <w:t>costo de materiales</w:t>
      </w:r>
      <w:r>
        <w:rPr>
          <w:rFonts w:ascii="Calibri" w:hAnsi="Calibri"/>
          <w:b w:val="0"/>
          <w:i w:val="0"/>
          <w:color w:val="1A2329"/>
          <w:sz w:val="22"/>
        </w:rPr>
        <w:t xml:space="preserve"> (esta última, un resumen que vincula la planilla con el presupuesto de la tarea).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 evaluación combina un chequeo reactivo (al abrir una obra) con un job periódico cada 4 horas que cubre obras sin tráfico, y cada alerta se auto-resuelve cuando la condición que la disparó desaparece (tarea completada, cancelada o corregida).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docs/analisis-modulo-*.md</w:t>
      </w:r>
      <w:r>
        <w:rPr>
          <w:rFonts w:ascii="Calibri" w:hAnsi="Calibri"/>
          <w:b w:val="0"/>
          <w:i w:val="0"/>
          <w:color w:val="1A2329"/>
          <w:sz w:val="22"/>
        </w:rPr>
        <w:t>) consolidados en un informe maestro (</w:t>
      </w:r>
      <w:r>
        <w:rPr>
          <w:rFonts w:ascii="Consolas" w:hAnsi="Consolas"/>
          <w:b w:val="0"/>
          <w:i w:val="0"/>
          <w:color w:val="1A2329"/>
          <w:sz w:val="21"/>
        </w:rPr>
        <w:t>docs/auditoria-sistema-consolidada.md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315 tests distribuidos en 37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Los tests de frontend y la automatización end-to-end quedan pendientes; se declaran explícitamente en las secciones de Implementación y de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315 tests automatizados (</w:t>
      </w:r>
      <w:r>
        <w:rPr>
          <w:rFonts w:ascii="Calibri" w:hAnsi="Calibri"/>
          <w:b w:val="0"/>
          <w:i/>
          <w:color w:val="3E4A52"/>
          <w:sz w:val="21"/>
        </w:rPr>
        <w:t>pytest</w:t>
      </w:r>
      <w:r>
        <w:rPr>
          <w:rFonts w:ascii="Calibri" w:hAnsi="Calibri"/>
          <w:b w:val="0"/>
          <w:i/>
          <w:color w:val="3E4A52"/>
          <w:sz w:val="21"/>
        </w:rPr>
        <w:t>, 37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