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 ampliado a detección proactiva de riesgo</w:t>
            </w:r>
          </w:p>
        </w:tc>
        <w:tc>
          <w:tcPr>
            <w:tcW w:type="dxa" w:w="1872"/>
            <w:shd w:val="clear" w:fill="F6F7F6"/>
          </w:tcPr>
          <w:p>
            <w:r/>
            <w:r>
              <w:rPr>
                <w:rFonts w:ascii="Calibri" w:hAnsi="Calibri"/>
                <w:b w:val="0"/>
                <w:i w:val="0"/>
                <w:color w:val="1A2329"/>
                <w:sz w:val="20"/>
              </w:rPr>
              <w:t xml:space="preserve">Servicio de evaluación de riesgos (reactivo al abrir una obra y periódico para obras sin tráfico), </w:t>
            </w:r>
            <w:r>
              <w:rPr>
                <w:rFonts w:ascii="Calibri" w:hAnsi="Calibri"/>
                <w:b/>
                <w:i w:val="0"/>
                <w:color w:val="1A2329"/>
                <w:sz w:val="20"/>
              </w:rPr>
              <w:t>17 tipos de alerta</w:t>
            </w:r>
            <w:r>
              <w:rPr>
                <w:rFonts w:ascii="Calibri" w:hAnsi="Calibri"/>
                <w:b w:val="0"/>
                <w:i w:val="0"/>
                <w:color w:val="1A2329"/>
                <w:sz w:val="20"/>
              </w:rPr>
              <w:t xml:space="preserve"> con severidad graduada, emisión en tiempo real por Socket.IO y traza en el historial. A las 6 reglas iniciales —que solo miraban fechas de vencimiento y respuestas del asistente— se sumaron 11 reglas de detección de riesgo que explotan datos que el sistema ya calculaba sin usarlos para alertar: ruta crítica, línea base, aprovisionamiento de materiales, calendario laboral e historial de eventos. Cada regla es configurable por empresa (interruptor y umbral) y sus alertas se resuelven automáticamente cuando la condición que las originó deja de detectarse, de modo que la reaparición del problema vuelva a avisar. Auditoría dedicada en </w:t>
            </w:r>
            <w:r>
              <w:rPr>
                <w:rFonts w:ascii="Consolas" w:hAnsi="Consolas"/>
                <w:b w:val="0"/>
                <w:i w:val="0"/>
                <w:color w:val="1A2329"/>
                <w:sz w:val="19"/>
              </w:rPr>
              <w:t>docs/auditoria/06-alertas.md</w:t>
            </w:r>
            <w:r>
              <w:rPr>
                <w:rFonts w:ascii="Calibri" w:hAnsi="Calibri"/>
                <w:b w:val="0"/>
                <w:i w:val="0"/>
                <w:color w:val="1A2329"/>
                <w:sz w:val="20"/>
              </w:rPr>
              <w:t xml:space="preserve">, cerrada el 26/08/2026; diseño de las reglas en </w:t>
            </w:r>
            <w:r>
              <w:rPr>
                <w:rFonts w:ascii="Consolas" w:hAnsi="Consolas"/>
                <w:b w:val="0"/>
                <w:i w:val="0"/>
                <w:color w:val="1A2329"/>
                <w:sz w:val="19"/>
              </w:rPr>
              <w:t>docs/estado/propuesta-reglas-riesgo.md</w:t>
            </w:r>
            <w:r>
              <w:rPr>
                <w:rFonts w:ascii="Calibri" w:hAnsi="Calibri"/>
                <w:b w:val="0"/>
                <w:i w:val="0"/>
                <w:color w:val="1A2329"/>
                <w:sz w:val="20"/>
              </w:rPr>
              <w:t xml:space="preserve"> e implementación documentada en </w:t>
            </w:r>
            <w:r>
              <w:rPr>
                <w:rFonts w:ascii="Consolas" w:hAnsi="Consolas"/>
                <w:b w:val="0"/>
                <w:i w:val="0"/>
                <w:color w:val="1A2329"/>
                <w:sz w:val="19"/>
              </w:rPr>
              <w:t>docs/features/deteccion-riesgos.md</w:t>
            </w:r>
            <w:r>
              <w:rPr>
                <w:rFonts w:ascii="Calibri" w:hAnsi="Calibri"/>
                <w:b w:val="0"/>
                <w:i w:val="0"/>
                <w:color w:val="1A2329"/>
                <w:sz w:val="20"/>
              </w:rPr>
              <w:t xml:space="preserve"> (03/09/2026).</w:t>
            </w:r>
          </w:p>
        </w:tc>
        <w:tc>
          <w:tcPr>
            <w:tcW w:type="dxa" w:w="1872"/>
            <w:shd w:val="clear" w:fill="F6F7F6"/>
          </w:tcPr>
          <w:p>
            <w:r/>
            <w:r>
              <w:rPr>
                <w:rFonts w:ascii="Calibri" w:hAnsi="Calibri"/>
                <w:b w:val="0"/>
                <w:i w:val="0"/>
                <w:color w:val="1A2329"/>
                <w:sz w:val="20"/>
              </w:rPr>
              <w:t>Las alertas se entregan dentro de la aplicación; el envío de las de severidad crítica por WhatsApp al jefe de obra queda como extensión natural.</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 con una brecha de navegación</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Navegación tarea → notas completa.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 xml:space="preserve">Falta la navegación inversa (nota → tarea): las sugerencias muestran el nombre de la tarea como texto plano, sin </w:t>
            </w:r>
            <w:r>
              <w:rPr>
                <w:rFonts w:ascii="Calibri" w:hAnsi="Calibri"/>
                <w:b w:val="0"/>
                <w:i/>
                <w:color w:val="1A2329"/>
                <w:sz w:val="20"/>
              </w:rPr>
              <w:t>click-through</w:t>
            </w:r>
            <w:r>
              <w:rPr>
                <w:rFonts w:ascii="Calibri" w:hAnsi="Calibri"/>
                <w:b w:val="0"/>
                <w:i w:val="0"/>
                <w:color w:val="1A2329"/>
                <w:sz w:val="20"/>
              </w:rPr>
              <w:t xml:space="preserve"> al detalle.</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72 tests distribuidos en 16 archivos (ejecutados en integración continua), que cubren aislamiento por tenant, autenticación, rate limiting e importaciones; no existen todavía pruebas automatizadas de frontend ni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200" w:after="80"/>
      </w:pPr>
      <w:r>
        <w:rPr>
          <w:rFonts w:ascii="Calibri" w:hAnsi="Calibri"/>
          <w:b/>
          <w:color w:val="1A2329"/>
          <w:sz w:val="26"/>
        </w:rPr>
        <w:t>5. Análisis del entorno de negocios</w:t>
      </w:r>
    </w:p>
    <w:p>
      <w:pPr>
        <w:spacing w:after="160" w:lineRule="auto" w:line="276"/>
        <w:jc w:val="both"/>
      </w:pPr>
      <w:r>
        <w:rPr>
          <w:rFonts w:ascii="Calibri" w:hAnsi="Calibri"/>
          <w:b w:val="0"/>
          <w:i w:val="0"/>
          <w:color w:val="1A2329"/>
          <w:sz w:val="22"/>
        </w:rPr>
        <w:t xml:space="preserve">Además del análisis del problema y de las alternativas del mercado, resulta pertinente situar la propuesta dentro del entorno en el que operaría. Se adopta para ello el esquema clásico que distingue entre el </w:t>
      </w:r>
      <w:r>
        <w:rPr>
          <w:rFonts w:ascii="Calibri" w:hAnsi="Calibri"/>
          <w:b/>
          <w:i w:val="0"/>
          <w:color w:val="1A2329"/>
          <w:sz w:val="22"/>
        </w:rPr>
        <w:t>microentorno sectorial</w:t>
      </w:r>
      <w:r>
        <w:rPr>
          <w:rFonts w:ascii="Calibri" w:hAnsi="Calibri"/>
          <w:b w:val="0"/>
          <w:i w:val="0"/>
          <w:color w:val="1A2329"/>
          <w:sz w:val="22"/>
        </w:rPr>
        <w:t xml:space="preserve"> —clientes, proveedores, competidores y sustitutos, ya tratados en los apartados anteriores— y el </w:t>
      </w:r>
      <w:r>
        <w:rPr>
          <w:rFonts w:ascii="Calibri" w:hAnsi="Calibri"/>
          <w:b/>
          <w:i w:val="0"/>
          <w:color w:val="1A2329"/>
          <w:sz w:val="22"/>
        </w:rPr>
        <w:t>macroentorno</w:t>
      </w:r>
      <w:r>
        <w:rPr>
          <w:rFonts w:ascii="Calibri" w:hAnsi="Calibri"/>
          <w:b w:val="0"/>
          <w:i w:val="0"/>
          <w:color w:val="1A2329"/>
          <w:sz w:val="22"/>
        </w:rPr>
        <w:t>, es decir, el conjunto de fuerzas externas que la organización no controla pero que condicionan sus decisiones. El macroentorno se examina según cuatro dimensiones: tecnológica, económica, político-legal y social (Aguilar, 1967).</w:t>
      </w:r>
    </w:p>
    <w:p>
      <w:pPr>
        <w:spacing w:after="160" w:lineRule="auto" w:line="276"/>
        <w:jc w:val="both"/>
      </w:pPr>
      <w:r>
        <w:rPr>
          <w:rFonts w:ascii="Calibri" w:hAnsi="Calibri"/>
          <w:b w:val="0"/>
          <w:i w:val="0"/>
          <w:color w:val="1A2329"/>
          <w:sz w:val="22"/>
        </w:rPr>
        <w:t>Este análisis se realiza en el contexto argentino y, más específicamente, en el de las pequeñas y medianas empresas constructoras y los estudios de arquitectura de la ciudad de Córdoba, que constituyen el segmento relevado en el análisis de campo.</w:t>
      </w:r>
    </w:p>
    <w:p>
      <w:pPr>
        <w:keepNext/>
        <w:spacing w:before="200" w:after="80"/>
      </w:pPr>
      <w:r>
        <w:rPr>
          <w:rFonts w:ascii="Calibri" w:hAnsi="Calibri"/>
          <w:b/>
          <w:color w:val="3E4A52"/>
          <w:sz w:val="23"/>
        </w:rPr>
        <w:t>Dimensión tecnológica</w:t>
      </w:r>
    </w:p>
    <w:p>
      <w:pPr>
        <w:spacing w:after="160" w:lineRule="auto" w:line="276"/>
        <w:jc w:val="both"/>
      </w:pPr>
      <w:r>
        <w:rPr>
          <w:rFonts w:ascii="Calibri" w:hAnsi="Calibri"/>
          <w:b w:val="0"/>
          <w:i w:val="0"/>
          <w:color w:val="1A2329"/>
          <w:sz w:val="22"/>
        </w:rPr>
        <w:t xml:space="preserve">La variable habilitante central de la propuesta es la </w:t>
      </w:r>
      <w:r>
        <w:rPr>
          <w:rFonts w:ascii="Calibri" w:hAnsi="Calibri"/>
          <w:b/>
          <w:i w:val="0"/>
          <w:color w:val="1A2329"/>
          <w:sz w:val="22"/>
        </w:rPr>
        <w:t>adopción prácticamente universal de la mensajería instantánea</w:t>
      </w:r>
      <w:r>
        <w:rPr>
          <w:rFonts w:ascii="Calibri" w:hAnsi="Calibri"/>
          <w:b w:val="0"/>
          <w:i w:val="0"/>
          <w:color w:val="1A2329"/>
          <w:sz w:val="22"/>
        </w:rPr>
        <w:t xml:space="preserve"> —en particular WhatsApp— entre los actores de una obra, incluido el personal de campo. Esta condición es la que hace viable un canal de reporte que no exige instalar ni aprender una aplicación nueva; sin ella, la propuesta de valor del proyecto no se sostendría. En segundo lugar, la disponibilidad de modelos de lenguaje y de reconocimiento del habla como servicios de bajo costo por uso permite incorporar procesamiento de notas de voz y de documentos sin desarrollo propio de modelos, algo que hasta hace pocos años resultaba económicamente inviable para un proyecto de esta escala. La madurez de la infraestructura en la nube opera en el mismo sentido, al eliminar la necesidad de servidores propios.</w:t>
      </w:r>
    </w:p>
    <w:p>
      <w:pPr>
        <w:spacing w:after="160" w:lineRule="auto" w:line="276"/>
        <w:jc w:val="both"/>
      </w:pPr>
      <w:r>
        <w:rPr>
          <w:rFonts w:ascii="Calibri" w:hAnsi="Calibri"/>
          <w:b w:val="0"/>
          <w:i w:val="0"/>
          <w:color w:val="1A2329"/>
          <w:sz w:val="22"/>
        </w:rPr>
        <w:t xml:space="preserve">Como contrapartida, la dimensión tecnológica introduce dos condicionamientos. El primero es la </w:t>
      </w:r>
      <w:r>
        <w:rPr>
          <w:rFonts w:ascii="Calibri" w:hAnsi="Calibri"/>
          <w:b/>
          <w:i w:val="0"/>
          <w:color w:val="1A2329"/>
          <w:sz w:val="22"/>
        </w:rPr>
        <w:t>conectividad móvil</w:t>
      </w:r>
      <w:r>
        <w:rPr>
          <w:rFonts w:ascii="Calibri" w:hAnsi="Calibri"/>
          <w:b w:val="0"/>
          <w:i w:val="0"/>
          <w:color w:val="1A2329"/>
          <w:sz w:val="22"/>
        </w:rPr>
        <w:t xml:space="preserve">, aceptable en obras urbanas pero irregular en subsuelos, zonas periféricas u obras rurales, lo que obliga a un diseño tolerante a la asincronía y a mensajes livianos. El segundo es la </w:t>
      </w:r>
      <w:r>
        <w:rPr>
          <w:rFonts w:ascii="Calibri" w:hAnsi="Calibri"/>
          <w:b/>
          <w:i w:val="0"/>
          <w:color w:val="1A2329"/>
          <w:sz w:val="22"/>
        </w:rPr>
        <w:t>dependencia de plataformas de terceros</w:t>
      </w:r>
      <w:r>
        <w:rPr>
          <w:rFonts w:ascii="Calibri" w:hAnsi="Calibri"/>
          <w:b w:val="0"/>
          <w:i w:val="0"/>
          <w:color w:val="1A2329"/>
          <w:sz w:val="22"/>
        </w:rPr>
        <w:t xml:space="preserve"> —la API de WhatsApp y los proveedores de modelos de IA—: cambios en sus condiciones de servicio, en sus precios o en sus políticas de mensajería impactan directamente sobre el núcleo funcional de la solución.</w:t>
      </w:r>
    </w:p>
    <w:p>
      <w:pPr>
        <w:keepNext/>
        <w:spacing w:before="200" w:after="80"/>
      </w:pPr>
      <w:r>
        <w:rPr>
          <w:rFonts w:ascii="Calibri" w:hAnsi="Calibri"/>
          <w:b/>
          <w:color w:val="3E4A52"/>
          <w:sz w:val="23"/>
        </w:rPr>
        <w:t>Dimensión económica</w:t>
      </w:r>
    </w:p>
    <w:p>
      <w:pPr>
        <w:spacing w:after="160" w:lineRule="auto" w:line="276"/>
        <w:jc w:val="both"/>
      </w:pPr>
      <w:r>
        <w:rPr>
          <w:rFonts w:ascii="Calibri" w:hAnsi="Calibri"/>
          <w:b w:val="0"/>
          <w:i w:val="0"/>
          <w:color w:val="1A2329"/>
          <w:sz w:val="22"/>
        </w:rPr>
        <w:t xml:space="preserve">El sector de la construcción es </w:t>
      </w:r>
      <w:r>
        <w:rPr>
          <w:rFonts w:ascii="Calibri" w:hAnsi="Calibri"/>
          <w:b/>
          <w:i w:val="0"/>
          <w:color w:val="1A2329"/>
          <w:sz w:val="22"/>
        </w:rPr>
        <w:t>fuertemente procíclico</w:t>
      </w:r>
      <w:r>
        <w:rPr>
          <w:rFonts w:ascii="Calibri" w:hAnsi="Calibri"/>
          <w:b w:val="0"/>
          <w:i w:val="0"/>
          <w:color w:val="1A2329"/>
          <w:sz w:val="22"/>
        </w:rPr>
        <w:t xml:space="preserve"> y sensible al nivel de actividad, al acceso al crédito y al volumen de obra pública, de modo que la demanda de una herramienta de gestión acompaña ese ciclo. A ello se suma un contexto de </w:t>
      </w:r>
      <w:r>
        <w:rPr>
          <w:rFonts w:ascii="Calibri" w:hAnsi="Calibri"/>
          <w:b/>
          <w:i w:val="0"/>
          <w:color w:val="1A2329"/>
          <w:sz w:val="22"/>
        </w:rPr>
        <w:t>inflación y volatilidad de precios</w:t>
      </w:r>
      <w:r>
        <w:rPr>
          <w:rFonts w:ascii="Calibri" w:hAnsi="Calibri"/>
          <w:b w:val="0"/>
          <w:i w:val="0"/>
          <w:color w:val="1A2329"/>
          <w:sz w:val="22"/>
        </w:rPr>
        <w:t xml:space="preserve"> que desactualiza los presupuestos de materiales en plazos breves; esta condición del entorno refuerza el valor de los módulos de presupuesto y compras, pero al mismo tiempo dificulta la fijación de precios de una suscripción en moneda local.</w:t>
      </w:r>
    </w:p>
    <w:p>
      <w:pPr>
        <w:spacing w:after="160" w:lineRule="auto" w:line="276"/>
        <w:jc w:val="both"/>
      </w:pPr>
      <w:r>
        <w:rPr>
          <w:rFonts w:ascii="Calibri" w:hAnsi="Calibri"/>
          <w:b w:val="0"/>
          <w:i w:val="0"/>
          <w:color w:val="1A2329"/>
          <w:sz w:val="22"/>
        </w:rPr>
        <w:t xml:space="preserve">Un tercer factor es la </w:t>
      </w:r>
      <w:r>
        <w:rPr>
          <w:rFonts w:ascii="Calibri" w:hAnsi="Calibri"/>
          <w:b/>
          <w:i w:val="0"/>
          <w:color w:val="1A2329"/>
          <w:sz w:val="22"/>
        </w:rPr>
        <w:t>asimetría cambiaria de la estructura de costos</w:t>
      </w:r>
      <w:r>
        <w:rPr>
          <w:rFonts w:ascii="Calibri" w:hAnsi="Calibri"/>
          <w:b w:val="0"/>
          <w:i w:val="0"/>
          <w:color w:val="1A2329"/>
          <w:sz w:val="22"/>
        </w:rPr>
        <w:t>: los servicios de infraestructura, mensajería y modelos de IA se contratan en dólares, mientras que los ingresos previstos se percibirían en pesos, lo que expone el margen a la variación del tipo de cambio. Finalmente, la presión de costos sobre las empresas del sector hace que el software de gestión pueda percibirse como un gasto prescindible; esto condiciona tanto el esquema de planes escalonados adoptado como la necesidad de que el beneficio operativo resulte visible en plazos cortos.</w:t>
      </w:r>
    </w:p>
    <w:p>
      <w:pPr>
        <w:keepNext/>
        <w:spacing w:before="200" w:after="80"/>
      </w:pPr>
      <w:r>
        <w:rPr>
          <w:rFonts w:ascii="Calibri" w:hAnsi="Calibri"/>
          <w:b/>
          <w:color w:val="3E4A52"/>
          <w:sz w:val="23"/>
        </w:rPr>
        <w:t>Dimensión político-legal</w:t>
      </w:r>
    </w:p>
    <w:p>
      <w:pPr>
        <w:spacing w:after="160" w:lineRule="auto" w:line="276"/>
        <w:jc w:val="both"/>
      </w:pPr>
      <w:r>
        <w:rPr>
          <w:rFonts w:ascii="Calibri" w:hAnsi="Calibri"/>
          <w:b w:val="0"/>
          <w:i w:val="0"/>
          <w:color w:val="1A2329"/>
          <w:sz w:val="22"/>
        </w:rPr>
        <w:t xml:space="preserve">La solución almacena y transmite datos personales —números de teléfono, mensajes, notas de voz y registros de actividad de trabajadores—, por lo que queda alcanzada por la </w:t>
      </w:r>
      <w:r>
        <w:rPr>
          <w:rFonts w:ascii="Calibri" w:hAnsi="Calibri"/>
          <w:b/>
          <w:i w:val="0"/>
          <w:color w:val="1A2329"/>
          <w:sz w:val="22"/>
        </w:rPr>
        <w:t>Ley 25.326 de Protección de los Datos Personales</w:t>
      </w:r>
      <w:r>
        <w:rPr>
          <w:rFonts w:ascii="Calibri" w:hAnsi="Calibri"/>
          <w:b w:val="0"/>
          <w:i w:val="0"/>
          <w:color w:val="1A2329"/>
          <w:sz w:val="22"/>
        </w:rPr>
        <w:t xml:space="preserve"> (Honorable Congreso de la Nación Argentina, 2000), con sus exigencias de consentimiento, finalidad determinada y medidas de seguridad. Este punto se vincula directamente con la limitación ya señalada en el apartado de tecnologías investigadas respecto de la ausencia de políticas formales de retención y de acuerdos de tratamiento de datos con los proveedores de IA.</w:t>
      </w:r>
    </w:p>
    <w:p>
      <w:pPr>
        <w:spacing w:after="160" w:lineRule="auto" w:line="276"/>
        <w:jc w:val="both"/>
      </w:pPr>
      <w:r>
        <w:rPr>
          <w:rFonts w:ascii="Calibri" w:hAnsi="Calibri"/>
          <w:b w:val="0"/>
          <w:i w:val="0"/>
          <w:color w:val="1A2329"/>
          <w:sz w:val="22"/>
        </w:rPr>
        <w:t xml:space="preserve">En segundo lugar, las </w:t>
      </w:r>
      <w:r>
        <w:rPr>
          <w:rFonts w:ascii="Calibri" w:hAnsi="Calibri"/>
          <w:b/>
          <w:i w:val="0"/>
          <w:color w:val="1A2329"/>
          <w:sz w:val="22"/>
        </w:rPr>
        <w:t>condiciones de servicio de la plataforma de mensajería</w:t>
      </w:r>
      <w:r>
        <w:rPr>
          <w:rFonts w:ascii="Calibri" w:hAnsi="Calibri"/>
          <w:b w:val="0"/>
          <w:i w:val="0"/>
          <w:color w:val="1A2329"/>
          <w:sz w:val="22"/>
        </w:rPr>
        <w:t xml:space="preserve"> (Meta Platforms, 2026) regulan el uso de plantillas, las ventanas de respuesta y el envío de mensajes no solicitados; su incumplimiento puede derivar en la suspensión del número utilizado, lo que constituye un riesgo operativo concreto. Por último, el marco normativo laboral y de higiene y seguridad otorga un valor adicional al registro histórico inalterable de la aplicación, que puede oficiar de respaldo documental ante una inspección o una controversia, y que por esa misma razón exige garantizar su integridad.</w:t>
      </w:r>
    </w:p>
    <w:p>
      <w:pPr>
        <w:keepNext/>
        <w:spacing w:before="200" w:after="80"/>
      </w:pPr>
      <w:r>
        <w:rPr>
          <w:rFonts w:ascii="Calibri" w:hAnsi="Calibri"/>
          <w:b/>
          <w:color w:val="3E4A52"/>
          <w:sz w:val="23"/>
        </w:rPr>
        <w:t>Dimensión social</w:t>
      </w:r>
    </w:p>
    <w:p>
      <w:pPr>
        <w:spacing w:after="160" w:lineRule="auto" w:line="276"/>
        <w:jc w:val="both"/>
      </w:pPr>
      <w:r>
        <w:rPr>
          <w:rFonts w:ascii="Calibri" w:hAnsi="Calibri"/>
          <w:b w:val="0"/>
          <w:i w:val="0"/>
          <w:color w:val="1A2329"/>
          <w:sz w:val="22"/>
        </w:rPr>
        <w:t>La dimensión social es la que explica el diseño del canal de reporte. La comunicación real de una obra transcurre por vías informales —mensajería y llamadas—, y el personal de campo presenta niveles heterogéneos de alfabetización digital; imponer una aplicación adicional tiende a fracasar. La propuesta se apoya deliberadamente en ese hábito existente en lugar de intentar sustituirlo, decisión coherente con la hipótesis de diseño formulada a partir del análisis de campo.</w:t>
      </w:r>
    </w:p>
    <w:p>
      <w:pPr>
        <w:spacing w:after="160" w:lineRule="auto" w:line="276"/>
        <w:jc w:val="both"/>
      </w:pPr>
      <w:r>
        <w:rPr>
          <w:rFonts w:ascii="Calibri" w:hAnsi="Calibri"/>
          <w:b w:val="0"/>
          <w:i w:val="0"/>
          <w:color w:val="1A2329"/>
          <w:sz w:val="22"/>
        </w:rPr>
        <w:t xml:space="preserve">Debe considerarse además la </w:t>
      </w:r>
      <w:r>
        <w:rPr>
          <w:rFonts w:ascii="Calibri" w:hAnsi="Calibri"/>
          <w:b/>
          <w:i w:val="0"/>
          <w:color w:val="1A2329"/>
          <w:sz w:val="22"/>
        </w:rPr>
        <w:t>percepción de control</w:t>
      </w:r>
      <w:r>
        <w:rPr>
          <w:rFonts w:ascii="Calibri" w:hAnsi="Calibri"/>
          <w:b w:val="0"/>
          <w:i w:val="0"/>
          <w:color w:val="1A2329"/>
          <w:sz w:val="22"/>
        </w:rPr>
        <w:t xml:space="preserve">: un sistema que solicita reportes periódicos puede ser interpretado por el personal como una forma de vigilancia, por lo que su introducción depende tanto del encuadre organizacional como de las funciones que ofrece. La </w:t>
      </w:r>
      <w:r>
        <w:rPr>
          <w:rFonts w:ascii="Calibri" w:hAnsi="Calibri"/>
          <w:b/>
          <w:i w:val="0"/>
          <w:color w:val="1A2329"/>
          <w:sz w:val="22"/>
        </w:rPr>
        <w:t>alta rotación de personal y de subcontratistas</w:t>
      </w:r>
      <w:r>
        <w:rPr>
          <w:rFonts w:ascii="Calibri" w:hAnsi="Calibri"/>
          <w:b w:val="0"/>
          <w:i w:val="0"/>
          <w:color w:val="1A2329"/>
          <w:sz w:val="22"/>
        </w:rPr>
        <w:t xml:space="preserve"> característica del sector justifica un modelo de equipo de empresa reutilizable entre obras, en lugar de usuarios fijos por proyecto. Finalmente, la creciente expectativa de los comitentes de disponer de información de avance actualizada opera como una fuerza favorable a la adopción, al desplazar la demanda desde la propia empresa constructora hacia su cliente.</w:t>
      </w:r>
    </w:p>
    <w:p>
      <w:pPr>
        <w:keepNext/>
        <w:spacing w:before="200" w:after="80"/>
      </w:pPr>
      <w:r>
        <w:rPr>
          <w:rFonts w:ascii="Calibri" w:hAnsi="Calibri"/>
          <w:b/>
          <w:color w:val="3E4A52"/>
          <w:sz w:val="23"/>
        </w:rPr>
        <w:t>Variables no controlables</w:t>
      </w:r>
    </w:p>
    <w:p>
      <w:pPr>
        <w:spacing w:after="160" w:lineRule="auto" w:line="276"/>
        <w:jc w:val="both"/>
      </w:pPr>
      <w:r>
        <w:rPr>
          <w:rFonts w:ascii="Calibri" w:hAnsi="Calibri"/>
          <w:b w:val="0"/>
          <w:i w:val="0"/>
          <w:color w:val="1A2329"/>
          <w:sz w:val="22"/>
        </w:rPr>
        <w:t xml:space="preserve">Del conjunto anterior interesa aislar aquellas variables que </w:t>
      </w:r>
      <w:r>
        <w:rPr>
          <w:rFonts w:ascii="Calibri" w:hAnsi="Calibri"/>
          <w:b/>
          <w:i w:val="0"/>
          <w:color w:val="1A2329"/>
          <w:sz w:val="22"/>
        </w:rPr>
        <w:t>influyen sobre el negocio y sobre las cuales la organización no tiene ningún control</w:t>
      </w:r>
      <w:r>
        <w:rPr>
          <w:rFonts w:ascii="Calibri" w:hAnsi="Calibri"/>
          <w:b w:val="0"/>
          <w:i w:val="0"/>
          <w:color w:val="1A2329"/>
          <w:sz w:val="22"/>
        </w:rPr>
        <w:t>, ya que constituyen el objeto propio del análisis del macroentorno y determinan qué debe ser monitoreado en lugar de gestionado.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A2329"/>
          </w:tcPr>
          <w:p>
            <w:r/>
            <w:r>
              <w:rPr>
                <w:rFonts w:ascii="Calibri" w:hAnsi="Calibri"/>
                <w:b w:val="0"/>
                <w:i w:val="0"/>
                <w:color w:val="FFFFFF"/>
                <w:sz w:val="20"/>
              </w:rPr>
              <w:t>Dimensión</w:t>
            </w:r>
          </w:p>
        </w:tc>
        <w:tc>
          <w:tcPr>
            <w:tcW w:type="dxa" w:w="2340"/>
            <w:shd w:val="clear" w:fill="1A2329"/>
          </w:tcPr>
          <w:p>
            <w:r/>
            <w:r>
              <w:rPr>
                <w:rFonts w:ascii="Calibri" w:hAnsi="Calibri"/>
                <w:b w:val="0"/>
                <w:i w:val="0"/>
                <w:color w:val="FFFFFF"/>
                <w:sz w:val="20"/>
              </w:rPr>
              <w:t>Variable no controlable</w:t>
            </w:r>
          </w:p>
        </w:tc>
        <w:tc>
          <w:tcPr>
            <w:tcW w:type="dxa" w:w="2340"/>
            <w:shd w:val="clear" w:fill="1A2329"/>
          </w:tcPr>
          <w:p>
            <w:r/>
            <w:r>
              <w:rPr>
                <w:rFonts w:ascii="Calibri" w:hAnsi="Calibri"/>
                <w:b w:val="0"/>
                <w:i w:val="0"/>
                <w:color w:val="FFFFFF"/>
                <w:sz w:val="20"/>
              </w:rPr>
              <w:t>Cómo influye sobre el negocio</w:t>
            </w:r>
          </w:p>
        </w:tc>
        <w:tc>
          <w:tcPr>
            <w:tcW w:type="dxa" w:w="2340"/>
            <w:shd w:val="clear" w:fill="1A2329"/>
          </w:tcPr>
          <w:p>
            <w:r/>
            <w:r>
              <w:rPr>
                <w:rFonts w:ascii="Calibri" w:hAnsi="Calibri"/>
                <w:b w:val="0"/>
                <w:i w:val="0"/>
                <w:color w:val="FFFFFF"/>
                <w:sz w:val="20"/>
              </w:rPr>
              <w:t>Respuesta posible (mitigación, no control)</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Políticas, precios y condiciones de la API de mensajería (Meta/proveedor)</w:t>
            </w:r>
          </w:p>
        </w:tc>
        <w:tc>
          <w:tcPr>
            <w:tcW w:type="dxa" w:w="2340"/>
          </w:tcPr>
          <w:p>
            <w:r/>
            <w:r>
              <w:rPr>
                <w:rFonts w:ascii="Calibri" w:hAnsi="Calibri"/>
                <w:b w:val="0"/>
                <w:i w:val="0"/>
                <w:color w:val="1A2329"/>
                <w:sz w:val="20"/>
              </w:rPr>
              <w:t>Definen si el canal de reporte —núcleo de la propuesta— puede seguir operando y a qué costo por mensaje</w:t>
            </w:r>
          </w:p>
        </w:tc>
        <w:tc>
          <w:tcPr>
            <w:tcW w:type="dxa" w:w="2340"/>
          </w:tcPr>
          <w:p>
            <w:r/>
            <w:r>
              <w:rPr>
                <w:rFonts w:ascii="Calibri" w:hAnsi="Calibri"/>
                <w:b w:val="0"/>
                <w:i w:val="0"/>
                <w:color w:val="1A2329"/>
                <w:sz w:val="20"/>
              </w:rPr>
              <w:t>Abstraer la integración para permitir el cambio de proveedor; prever un canal alternativo</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Precios y continuidad de los proveedores de modelos de IA</w:t>
            </w:r>
          </w:p>
        </w:tc>
        <w:tc>
          <w:tcPr>
            <w:tcW w:type="dxa" w:w="2340"/>
            <w:shd w:val="clear" w:fill="F6F7F6"/>
          </w:tcPr>
          <w:p>
            <w:r/>
            <w:r>
              <w:rPr>
                <w:rFonts w:ascii="Calibri" w:hAnsi="Calibri"/>
                <w:b w:val="0"/>
                <w:i w:val="0"/>
                <w:color w:val="1A2329"/>
                <w:sz w:val="20"/>
              </w:rPr>
              <w:t>Inciden en el costo variable por obra y en la disponibilidad de las funciones de transcripción y análisis</w:t>
            </w:r>
          </w:p>
        </w:tc>
        <w:tc>
          <w:tcPr>
            <w:tcW w:type="dxa" w:w="2340"/>
            <w:shd w:val="clear" w:fill="F6F7F6"/>
          </w:tcPr>
          <w:p>
            <w:r/>
            <w:r>
              <w:rPr>
                <w:rFonts w:ascii="Calibri" w:hAnsi="Calibri"/>
                <w:b w:val="0"/>
                <w:i w:val="0"/>
                <w:color w:val="1A2329"/>
                <w:sz w:val="20"/>
              </w:rPr>
              <w:t>Diseño desacoplado del proveedor; degradación funcional prevista si el servicio no está disponible</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Cobertura y calidad de la conectividad móvil en obra</w:t>
            </w:r>
          </w:p>
        </w:tc>
        <w:tc>
          <w:tcPr>
            <w:tcW w:type="dxa" w:w="2340"/>
          </w:tcPr>
          <w:p>
            <w:r/>
            <w:r>
              <w:rPr>
                <w:rFonts w:ascii="Calibri" w:hAnsi="Calibri"/>
                <w:b w:val="0"/>
                <w:i w:val="0"/>
                <w:color w:val="1A2329"/>
                <w:sz w:val="20"/>
              </w:rPr>
              <w:t>Condiciona la posibilidad efectiva de reportar desde el campo</w:t>
            </w:r>
          </w:p>
        </w:tc>
        <w:tc>
          <w:tcPr>
            <w:tcW w:type="dxa" w:w="2340"/>
          </w:tcPr>
          <w:p>
            <w:r/>
            <w:r>
              <w:rPr>
                <w:rFonts w:ascii="Calibri" w:hAnsi="Calibri"/>
                <w:b w:val="0"/>
                <w:i w:val="0"/>
                <w:color w:val="1A2329"/>
                <w:sz w:val="20"/>
              </w:rPr>
              <w:t>Mensajes livianos, procesamiento asincrónico y tolerancia a demoras</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Grado de alfabetización digital y equipamiento del personal de campo</w:t>
            </w:r>
          </w:p>
        </w:tc>
        <w:tc>
          <w:tcPr>
            <w:tcW w:type="dxa" w:w="2340"/>
            <w:shd w:val="clear" w:fill="F6F7F6"/>
          </w:tcPr>
          <w:p>
            <w:r/>
            <w:r>
              <w:rPr>
                <w:rFonts w:ascii="Calibri" w:hAnsi="Calibri"/>
                <w:b w:val="0"/>
                <w:i w:val="0"/>
                <w:color w:val="1A2329"/>
                <w:sz w:val="20"/>
              </w:rPr>
              <w:t>Determina el techo de adopción del canal conversacional</w:t>
            </w:r>
          </w:p>
        </w:tc>
        <w:tc>
          <w:tcPr>
            <w:tcW w:type="dxa" w:w="2340"/>
            <w:shd w:val="clear" w:fill="F6F7F6"/>
          </w:tcPr>
          <w:p>
            <w:r/>
            <w:r>
              <w:rPr>
                <w:rFonts w:ascii="Calibri" w:hAnsi="Calibri"/>
                <w:b w:val="0"/>
                <w:i w:val="0"/>
                <w:color w:val="1A2329"/>
                <w:sz w:val="20"/>
              </w:rPr>
              <w:t>Interfaz conversacional sin instalación ni aprendizaje previo</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Nivel de actividad del sector de la construcción y volumen de obra pública</w:t>
            </w:r>
          </w:p>
        </w:tc>
        <w:tc>
          <w:tcPr>
            <w:tcW w:type="dxa" w:w="2340"/>
          </w:tcPr>
          <w:p>
            <w:r/>
            <w:r>
              <w:rPr>
                <w:rFonts w:ascii="Calibri" w:hAnsi="Calibri"/>
                <w:b w:val="0"/>
                <w:i w:val="0"/>
                <w:color w:val="1A2329"/>
                <w:sz w:val="20"/>
              </w:rPr>
              <w:t>Regula el tamaño del mercado y la disposición a incorporar herramientas</w:t>
            </w:r>
          </w:p>
        </w:tc>
        <w:tc>
          <w:tcPr>
            <w:tcW w:type="dxa" w:w="2340"/>
          </w:tcPr>
          <w:p>
            <w:r/>
            <w:r>
              <w:rPr>
                <w:rFonts w:ascii="Calibri" w:hAnsi="Calibri"/>
                <w:b w:val="0"/>
                <w:i w:val="0"/>
                <w:color w:val="1A2329"/>
                <w:sz w:val="20"/>
              </w:rPr>
              <w:t>Estructura de costos variable; planes de bajo ticket de entrada</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Inflación y volatilidad de precios de materiales</w:t>
            </w:r>
          </w:p>
        </w:tc>
        <w:tc>
          <w:tcPr>
            <w:tcW w:type="dxa" w:w="2340"/>
            <w:shd w:val="clear" w:fill="F6F7F6"/>
          </w:tcPr>
          <w:p>
            <w:r/>
            <w:r>
              <w:rPr>
                <w:rFonts w:ascii="Calibri" w:hAnsi="Calibri"/>
                <w:b w:val="0"/>
                <w:i w:val="0"/>
                <w:color w:val="1A2329"/>
                <w:sz w:val="20"/>
              </w:rPr>
              <w:t>Desactualiza presupuestos y complica la fijación del precio de la suscripción</w:t>
            </w:r>
          </w:p>
        </w:tc>
        <w:tc>
          <w:tcPr>
            <w:tcW w:type="dxa" w:w="2340"/>
            <w:shd w:val="clear" w:fill="F6F7F6"/>
          </w:tcPr>
          <w:p>
            <w:r/>
            <w:r>
              <w:rPr>
                <w:rFonts w:ascii="Calibri" w:hAnsi="Calibri"/>
                <w:b w:val="0"/>
                <w:i w:val="0"/>
                <w:color w:val="1A2329"/>
                <w:sz w:val="20"/>
              </w:rPr>
              <w:t>Revisión periódica de precios; módulo de presupuesto pensado para actualización frecuente</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Tipo de cambio</w:t>
            </w:r>
          </w:p>
        </w:tc>
        <w:tc>
          <w:tcPr>
            <w:tcW w:type="dxa" w:w="2340"/>
          </w:tcPr>
          <w:p>
            <w:r/>
            <w:r>
              <w:rPr>
                <w:rFonts w:ascii="Calibri" w:hAnsi="Calibri"/>
                <w:b w:val="0"/>
                <w:i w:val="0"/>
                <w:color w:val="1A2329"/>
                <w:sz w:val="20"/>
              </w:rPr>
              <w:t>Afecta el margen, por costos en dólares e ingresos en pesos</w:t>
            </w:r>
          </w:p>
        </w:tc>
        <w:tc>
          <w:tcPr>
            <w:tcW w:type="dxa" w:w="2340"/>
          </w:tcPr>
          <w:p>
            <w:r/>
            <w:r>
              <w:rPr>
                <w:rFonts w:ascii="Calibri" w:hAnsi="Calibri"/>
                <w:b w:val="0"/>
                <w:i w:val="0"/>
                <w:color w:val="1A2329"/>
                <w:sz w:val="20"/>
              </w:rPr>
              <w:t>Monitoreo del costo unitario por obra; revisión de planes</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Acceso al crédito hipotecario y a la financiación de obra</w:t>
            </w:r>
          </w:p>
        </w:tc>
        <w:tc>
          <w:tcPr>
            <w:tcW w:type="dxa" w:w="2340"/>
            <w:shd w:val="clear" w:fill="F6F7F6"/>
          </w:tcPr>
          <w:p>
            <w:r/>
            <w:r>
              <w:rPr>
                <w:rFonts w:ascii="Calibri" w:hAnsi="Calibri"/>
                <w:b w:val="0"/>
                <w:i w:val="0"/>
                <w:color w:val="1A2329"/>
                <w:sz w:val="20"/>
              </w:rPr>
              <w:t>Anticipa la cantidad de obras nuevas, y por lo tanto la demanda</w:t>
            </w:r>
          </w:p>
        </w:tc>
        <w:tc>
          <w:tcPr>
            <w:tcW w:type="dxa" w:w="2340"/>
            <w:shd w:val="clear" w:fill="F6F7F6"/>
          </w:tcPr>
          <w:p>
            <w:r/>
            <w:r>
              <w:rPr>
                <w:rFonts w:ascii="Calibri" w:hAnsi="Calibri"/>
                <w:b w:val="0"/>
                <w:i w:val="0"/>
                <w:color w:val="1A2329"/>
                <w:sz w:val="20"/>
              </w:rPr>
              <w:t>Diversificación de segmentos (estudios profesionales además de constructoras)</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Régimen de protección de datos personales (Ley 25.326 y su eventual reforma)</w:t>
            </w:r>
          </w:p>
        </w:tc>
        <w:tc>
          <w:tcPr>
            <w:tcW w:type="dxa" w:w="2340"/>
          </w:tcPr>
          <w:p>
            <w:r/>
            <w:r>
              <w:rPr>
                <w:rFonts w:ascii="Calibri" w:hAnsi="Calibri"/>
                <w:b w:val="0"/>
                <w:i w:val="0"/>
                <w:color w:val="1A2329"/>
                <w:sz w:val="20"/>
              </w:rPr>
              <w:t>Impone obligaciones sobre datos de trabajadores; su incumplimiento implica riesgo legal</w:t>
            </w:r>
          </w:p>
        </w:tc>
        <w:tc>
          <w:tcPr>
            <w:tcW w:type="dxa" w:w="2340"/>
          </w:tcPr>
          <w:p>
            <w:r/>
            <w:r>
              <w:rPr>
                <w:rFonts w:ascii="Calibri" w:hAnsi="Calibri"/>
                <w:b w:val="0"/>
                <w:i w:val="0"/>
                <w:color w:val="1A2329"/>
                <w:sz w:val="20"/>
              </w:rPr>
              <w:t>Definición de políticas de consentimiento, retención y acuerdos de tratamiento de datos</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Términos de servicio de la plataforma de mensajería</w:t>
            </w:r>
          </w:p>
        </w:tc>
        <w:tc>
          <w:tcPr>
            <w:tcW w:type="dxa" w:w="2340"/>
            <w:shd w:val="clear" w:fill="F6F7F6"/>
          </w:tcPr>
          <w:p>
            <w:r/>
            <w:r>
              <w:rPr>
                <w:rFonts w:ascii="Calibri" w:hAnsi="Calibri"/>
                <w:b w:val="0"/>
                <w:i w:val="0"/>
                <w:color w:val="1A2329"/>
                <w:sz w:val="20"/>
              </w:rPr>
              <w:t>Su incumplimiento puede derivar en la suspensión del número utilizado</w:t>
            </w:r>
          </w:p>
        </w:tc>
        <w:tc>
          <w:tcPr>
            <w:tcW w:type="dxa" w:w="2340"/>
            <w:shd w:val="clear" w:fill="F6F7F6"/>
          </w:tcPr>
          <w:p>
            <w:r/>
            <w:r>
              <w:rPr>
                <w:rFonts w:ascii="Calibri" w:hAnsi="Calibri"/>
                <w:b w:val="0"/>
                <w:i w:val="0"/>
                <w:color w:val="1A2329"/>
                <w:sz w:val="20"/>
              </w:rPr>
              <w:t>Cumplimiento estricto de plantillas y ventanas de respuesta</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Normativa laboral, de higiene y seguridad, y reglamentación municipal de obra</w:t>
            </w:r>
          </w:p>
        </w:tc>
        <w:tc>
          <w:tcPr>
            <w:tcW w:type="dxa" w:w="2340"/>
          </w:tcPr>
          <w:p>
            <w:r/>
            <w:r>
              <w:rPr>
                <w:rFonts w:ascii="Calibri" w:hAnsi="Calibri"/>
                <w:b w:val="0"/>
                <w:i w:val="0"/>
                <w:color w:val="1A2329"/>
                <w:sz w:val="20"/>
              </w:rPr>
              <w:t>Define qué registros son exigibles y qué valor probatorio tienen</w:t>
            </w:r>
          </w:p>
        </w:tc>
        <w:tc>
          <w:tcPr>
            <w:tcW w:type="dxa" w:w="2340"/>
          </w:tcPr>
          <w:p>
            <w:r/>
            <w:r>
              <w:rPr>
                <w:rFonts w:ascii="Calibri" w:hAnsi="Calibri"/>
                <w:b w:val="0"/>
                <w:i w:val="0"/>
                <w:color w:val="1A2329"/>
                <w:sz w:val="20"/>
              </w:rPr>
              <w:t>Registro histórico inalterable y trazabilidad documental</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Régimen impositivo y de facturación aplicable a servicios digitales</w:t>
            </w:r>
          </w:p>
        </w:tc>
        <w:tc>
          <w:tcPr>
            <w:tcW w:type="dxa" w:w="2340"/>
            <w:shd w:val="clear" w:fill="F6F7F6"/>
          </w:tcPr>
          <w:p>
            <w:r/>
            <w:r>
              <w:rPr>
                <w:rFonts w:ascii="Calibri" w:hAnsi="Calibri"/>
                <w:b w:val="0"/>
                <w:i w:val="0"/>
                <w:color w:val="1A2329"/>
                <w:sz w:val="20"/>
              </w:rPr>
              <w:t>Incide sobre el precio final y sobre la operación comercial</w:t>
            </w:r>
          </w:p>
        </w:tc>
        <w:tc>
          <w:tcPr>
            <w:tcW w:type="dxa" w:w="2340"/>
            <w:shd w:val="clear" w:fill="F6F7F6"/>
          </w:tcPr>
          <w:p>
            <w:r/>
            <w:r>
              <w:rPr>
                <w:rFonts w:ascii="Calibri" w:hAnsi="Calibri"/>
                <w:b w:val="0"/>
                <w:i w:val="0"/>
                <w:color w:val="1A2329"/>
                <w:sz w:val="20"/>
              </w:rPr>
              <w:t>Previsión en el esquema de monetización</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Cultura de comunicación informal en obra</w:t>
            </w:r>
          </w:p>
        </w:tc>
        <w:tc>
          <w:tcPr>
            <w:tcW w:type="dxa" w:w="2340"/>
          </w:tcPr>
          <w:p>
            <w:r/>
            <w:r>
              <w:rPr>
                <w:rFonts w:ascii="Calibri" w:hAnsi="Calibri"/>
                <w:b w:val="0"/>
                <w:i w:val="0"/>
                <w:color w:val="1A2329"/>
                <w:sz w:val="20"/>
              </w:rPr>
              <w:t>Es simultáneamente el problema que origina el proyecto y la oportunidad que lo habilita</w:t>
            </w:r>
          </w:p>
        </w:tc>
        <w:tc>
          <w:tcPr>
            <w:tcW w:type="dxa" w:w="2340"/>
          </w:tcPr>
          <w:p>
            <w:r/>
            <w:r>
              <w:rPr>
                <w:rFonts w:ascii="Calibri" w:hAnsi="Calibri"/>
                <w:b w:val="0"/>
                <w:i w:val="0"/>
                <w:color w:val="1A2329"/>
                <w:sz w:val="20"/>
              </w:rPr>
              <w:t>Adaptación al hábito existente en lugar de su reemplazo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Percepción del reporte como control o vigilancia</w:t>
            </w:r>
          </w:p>
        </w:tc>
        <w:tc>
          <w:tcPr>
            <w:tcW w:type="dxa" w:w="2340"/>
            <w:shd w:val="clear" w:fill="F6F7F6"/>
          </w:tcPr>
          <w:p>
            <w:r/>
            <w:r>
              <w:rPr>
                <w:rFonts w:ascii="Calibri" w:hAnsi="Calibri"/>
                <w:b w:val="0"/>
                <w:i w:val="0"/>
                <w:color w:val="1A2329"/>
                <w:sz w:val="20"/>
              </w:rPr>
              <w:t>Puede generar resistencia del personal y limitar la adopción</w:t>
            </w:r>
          </w:p>
        </w:tc>
        <w:tc>
          <w:tcPr>
            <w:tcW w:type="dxa" w:w="2340"/>
            <w:shd w:val="clear" w:fill="F6F7F6"/>
          </w:tcPr>
          <w:p>
            <w:r/>
            <w:r>
              <w:rPr>
                <w:rFonts w:ascii="Calibri" w:hAnsi="Calibri"/>
                <w:b w:val="0"/>
                <w:i w:val="0"/>
                <w:color w:val="1A2329"/>
                <w:sz w:val="20"/>
              </w:rPr>
              <w:t>Encuadre del sistema como herramienta de coordinación; mínima carga de uso</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Rotación de personal y de subcontratistas</w:t>
            </w:r>
          </w:p>
        </w:tc>
        <w:tc>
          <w:tcPr>
            <w:tcW w:type="dxa" w:w="2340"/>
          </w:tcPr>
          <w:p>
            <w:r/>
            <w:r>
              <w:rPr>
                <w:rFonts w:ascii="Calibri" w:hAnsi="Calibri"/>
                <w:b w:val="0"/>
                <w:i w:val="0"/>
                <w:color w:val="1A2329"/>
                <w:sz w:val="20"/>
              </w:rPr>
              <w:t>Reduce la continuidad de uso y obliga a reincorporar usuarios con frecuencia</w:t>
            </w:r>
          </w:p>
        </w:tc>
        <w:tc>
          <w:tcPr>
            <w:tcW w:type="dxa" w:w="2340"/>
          </w:tcPr>
          <w:p>
            <w:r/>
            <w:r>
              <w:rPr>
                <w:rFonts w:ascii="Calibri" w:hAnsi="Calibri"/>
                <w:b w:val="0"/>
                <w:i w:val="0"/>
                <w:color w:val="1A2329"/>
                <w:sz w:val="20"/>
              </w:rPr>
              <w:t>Equipo de empresa reutilizable entre obras; alta de responsables de bajo costo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Expectativa de los comitentes respecto de la información de avance</w:t>
            </w:r>
          </w:p>
        </w:tc>
        <w:tc>
          <w:tcPr>
            <w:tcW w:type="dxa" w:w="2340"/>
            <w:shd w:val="clear" w:fill="F6F7F6"/>
          </w:tcPr>
          <w:p>
            <w:r/>
            <w:r>
              <w:rPr>
                <w:rFonts w:ascii="Calibri" w:hAnsi="Calibri"/>
                <w:b w:val="0"/>
                <w:i w:val="0"/>
                <w:color w:val="1A2329"/>
                <w:sz w:val="20"/>
              </w:rPr>
              <w:t>Traslada la demanda de trazabilidad desde la constructora hacia su cliente</w:t>
            </w:r>
          </w:p>
        </w:tc>
        <w:tc>
          <w:tcPr>
            <w:tcW w:type="dxa" w:w="2340"/>
            <w:shd w:val="clear" w:fill="F6F7F6"/>
          </w:tcPr>
          <w:p>
            <w:r/>
            <w:r>
              <w:rPr>
                <w:rFonts w:ascii="Calibri" w:hAnsi="Calibri"/>
                <w:b w:val="0"/>
                <w:i w:val="0"/>
                <w:color w:val="1A2329"/>
                <w:sz w:val="20"/>
              </w:rPr>
              <w:t>Funciones orientadas al comitente como argumento de adopción</w:t>
            </w:r>
          </w:p>
        </w:tc>
      </w:tr>
    </w:tbl>
    <w:p>
      <w:pPr>
        <w:spacing w:after="80"/>
      </w:pPr>
    </w:p>
    <w:p>
      <w:pPr>
        <w:spacing w:after="160" w:lineRule="auto" w:line="276"/>
        <w:jc w:val="both"/>
      </w:pPr>
      <w:r>
        <w:rPr>
          <w:rFonts w:ascii="Calibri" w:hAnsi="Calibri"/>
          <w:b w:val="0"/>
          <w:i w:val="0"/>
          <w:color w:val="1A2329"/>
          <w:sz w:val="22"/>
        </w:rPr>
        <w:t>Las variables del microentorno sectorial —clientes, proveedores, competidores directos y sustitutos— admiten en cambio algún grado de influencia por parte de la organización, mediante decisiones de producto, precio y posicionamiento, y fueron tratadas en los apartados anteriores.</w:t>
      </w:r>
    </w:p>
    <w:p>
      <w:pPr>
        <w:keepNext/>
        <w:spacing w:before="200" w:after="80"/>
      </w:pPr>
      <w:r>
        <w:rPr>
          <w:rFonts w:ascii="Calibri" w:hAnsi="Calibri"/>
          <w:b/>
          <w:color w:val="3E4A52"/>
          <w:sz w:val="23"/>
        </w:rPr>
        <w:t>Síntesis y evidencia pendiente</w:t>
      </w:r>
    </w:p>
    <w:p>
      <w:pPr>
        <w:spacing w:after="160" w:lineRule="auto" w:line="276"/>
        <w:jc w:val="both"/>
      </w:pPr>
      <w:r>
        <w:rPr>
          <w:rFonts w:ascii="Calibri" w:hAnsi="Calibri"/>
          <w:b w:val="0"/>
          <w:i w:val="0"/>
          <w:color w:val="1A2329"/>
          <w:sz w:val="22"/>
        </w:rPr>
        <w:t>Las dimensiones tecnológica y social resultan predominantemente favorables a la propuesta: la ubicuidad de la mensajería y la persistencia de una cultura de comunicación informal constituyen, en conjunto, la oportunidad que el proyecto busca aprovechar. La dimensión económica es la más adversa, por la prociclicidad del sector, la volatilidad de precios y la asimetría cambiaria de los costos. La dimensión político-legal no favorece ni obstaculiza de manera directa, pero concentra dos riesgos que requieren tratamiento explícito antes de un despliegue con datos reales: el cumplimiento del régimen de protección de datos personales y la dependencia de las condiciones de servicio de la plataforma de mensajería.</w:t>
      </w:r>
    </w:p>
    <w:p>
      <w:pPr>
        <w:spacing w:after="160" w:lineRule="auto" w:line="276"/>
        <w:jc w:val="both"/>
      </w:pPr>
      <w:r>
        <w:rPr>
          <w:rFonts w:ascii="Calibri" w:hAnsi="Calibri"/>
          <w:b w:val="0"/>
          <w:i w:val="0"/>
          <w:color w:val="1A2329"/>
          <w:sz w:val="22"/>
        </w:rPr>
        <w:t>Este análisis tiene carácter cualitativo y se apoya en la bibliografía consultada, en el relevamiento de campo descrito y en la caracterización general del sector. No se realizó una cuantificación de las variables mencionadas —penetración efectiva de la mensajería en el personal de obra, elasticidad del gasto en software de las empresas relevadas o incidencia real de los costos dolarizados sobre el margen—, por lo que su verificación empírica queda pendiente.</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spacing w:after="160" w:lineRule="auto" w:line="276"/>
        <w:jc w:val="both"/>
      </w:pPr>
      <w:r>
        <w:rPr>
          <w:rFonts w:ascii="Calibri" w:hAnsi="Calibri"/>
          <w:b/>
          <w:i w:val="0"/>
          <w:color w:val="1A2329"/>
          <w:sz w:val="22"/>
        </w:rPr>
        <w:t>Detección de Riesgo</w:t>
      </w:r>
    </w:p>
    <w:p>
      <w:pPr>
        <w:pStyle w:val="ListBullet"/>
        <w:spacing w:after="60"/>
        <w:jc w:val="both"/>
      </w:pPr>
      <w:r>
        <w:rPr>
          <w:rFonts w:ascii="Calibri" w:hAnsi="Calibri"/>
          <w:b/>
          <w:i w:val="0"/>
          <w:color w:val="1A2329"/>
          <w:sz w:val="22"/>
        </w:rPr>
        <w:t>RF-73:</w:t>
      </w:r>
      <w:r>
        <w:rPr>
          <w:rFonts w:ascii="Calibri" w:hAnsi="Calibri"/>
          <w:b w:val="0"/>
          <w:i w:val="0"/>
          <w:color w:val="1A2329"/>
          <w:sz w:val="22"/>
        </w:rPr>
        <w:t xml:space="preserve"> El sistema debe detectar automáticamente situaciones de riesgo cruzando la ruta crítica, la línea base, el estado de aprovisionamiento de materiales, el calendario laboral y el historial de la obra, sin requerir intervención del usuario.</w:t>
      </w:r>
    </w:p>
    <w:p>
      <w:pPr>
        <w:pStyle w:val="ListBullet"/>
        <w:spacing w:after="60"/>
        <w:jc w:val="both"/>
      </w:pPr>
      <w:r>
        <w:rPr>
          <w:rFonts w:ascii="Calibri" w:hAnsi="Calibri"/>
          <w:b/>
          <w:i w:val="0"/>
          <w:color w:val="1A2329"/>
          <w:sz w:val="22"/>
        </w:rPr>
        <w:t>RF-74:</w:t>
      </w:r>
      <w:r>
        <w:rPr>
          <w:rFonts w:ascii="Calibri" w:hAnsi="Calibri"/>
          <w:b w:val="0"/>
          <w:i w:val="0"/>
          <w:color w:val="1A2329"/>
          <w:sz w:val="22"/>
        </w:rPr>
        <w:t xml:space="preserve"> El sistema debe anticipar el riesgo antes de que se materialice el atraso, avisando de un vencimiento en la ruta crítica, de un hito comprometido o de un material faltante </w:t>
      </w:r>
      <w:r>
        <w:rPr>
          <w:rFonts w:ascii="Calibri" w:hAnsi="Calibri"/>
          <w:b/>
          <w:i w:val="0"/>
          <w:color w:val="1A2329"/>
          <w:sz w:val="22"/>
        </w:rPr>
        <w:t>antes</w:t>
      </w:r>
      <w:r>
        <w:rPr>
          <w:rFonts w:ascii="Calibri" w:hAnsi="Calibri"/>
          <w:b w:val="0"/>
          <w:i w:val="0"/>
          <w:color w:val="1A2329"/>
          <w:sz w:val="22"/>
        </w:rPr>
        <w:t xml:space="preserve"> de la fecha correspondiente.</w:t>
      </w:r>
    </w:p>
    <w:p>
      <w:pPr>
        <w:pStyle w:val="ListBullet"/>
        <w:spacing w:after="60"/>
        <w:jc w:val="both"/>
      </w:pPr>
      <w:r>
        <w:rPr>
          <w:rFonts w:ascii="Calibri" w:hAnsi="Calibri"/>
          <w:b/>
          <w:i w:val="0"/>
          <w:color w:val="1A2329"/>
          <w:sz w:val="22"/>
        </w:rPr>
        <w:t>RF-75:</w:t>
      </w:r>
      <w:r>
        <w:rPr>
          <w:rFonts w:ascii="Calibri" w:hAnsi="Calibri"/>
          <w:b w:val="0"/>
          <w:i w:val="0"/>
          <w:color w:val="1A2329"/>
          <w:sz w:val="22"/>
        </w:rPr>
        <w:t xml:space="preserve"> El sistema debe asignar un nivel de severidad a cada alerta (crítica, alta, media o baja) y priorizar visualmente las de mayor severidad.</w:t>
      </w:r>
    </w:p>
    <w:p>
      <w:pPr>
        <w:pStyle w:val="ListBullet"/>
        <w:spacing w:after="60"/>
        <w:jc w:val="both"/>
      </w:pPr>
      <w:r>
        <w:rPr>
          <w:rFonts w:ascii="Calibri" w:hAnsi="Calibri"/>
          <w:b/>
          <w:i w:val="0"/>
          <w:color w:val="1A2329"/>
          <w:sz w:val="22"/>
        </w:rPr>
        <w:t>RF-76:</w:t>
      </w:r>
      <w:r>
        <w:rPr>
          <w:rFonts w:ascii="Calibri" w:hAnsi="Calibri"/>
          <w:b w:val="0"/>
          <w:i w:val="0"/>
          <w:color w:val="1A2329"/>
          <w:sz w:val="22"/>
        </w:rPr>
        <w:t xml:space="preserve"> El sistema debe permitir a cada organización habilitar o deshabilitar individualmente cada regla de detección de riesgo y configurar su umbral de disparo.</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setenta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0070</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(con su nivel de severidad).</w:t>
      </w:r>
    </w:p>
    <w:p>
      <w:pPr>
        <w:pStyle w:val="ListBullet"/>
        <w:spacing w:after="60"/>
        <w:jc w:val="both"/>
      </w:pPr>
      <w:r>
        <w:rPr>
          <w:rFonts w:ascii="Calibri" w:hAnsi="Calibri"/>
          <w:b/>
          <w:i w:val="0"/>
          <w:color w:val="1A2329"/>
          <w:sz w:val="22"/>
        </w:rPr>
        <w:t>Detección de riesgo:</w:t>
      </w:r>
      <w:r>
        <w:rPr>
          <w:rFonts w:ascii="Calibri" w:hAnsi="Calibri"/>
          <w:b w:val="0"/>
          <w:i w:val="0"/>
          <w:color w:val="1A2329"/>
          <w:sz w:val="22"/>
        </w:rPr>
        <w:t xml:space="preserve"> </w:t>
      </w:r>
      <w:r>
        <w:rPr>
          <w:rFonts w:ascii="Consolas" w:hAnsi="Consolas"/>
          <w:b w:val="0"/>
          <w:i w:val="0"/>
          <w:color w:val="1A2329"/>
          <w:sz w:val="21"/>
        </w:rPr>
        <w:t>task_risk_snapshots</w:t>
      </w:r>
      <w:r>
        <w:rPr>
          <w:rFonts w:ascii="Calibri" w:hAnsi="Calibri"/>
          <w:b w:val="0"/>
          <w:i w:val="0"/>
          <w:color w:val="1A2329"/>
          <w:sz w:val="22"/>
        </w:rPr>
        <w:t xml:space="preserve"> (holgura calculada en la corrida anterior, para detectar que se está achicando) y la configuración de reglas y umbrales por empresa, alojada en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`docs/referencia/database.md`.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(setenta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0070</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detección de riesgo:</w:t>
      </w:r>
      <w:r>
        <w:rPr>
          <w:rFonts w:ascii="Calibri" w:hAnsi="Calibri"/>
          <w:b w:val="0"/>
          <w:i w:val="0"/>
          <w:color w:val="1A2329"/>
          <w:sz w:val="22"/>
        </w:rPr>
        <w:t xml:space="preserve"> el sistema evalúa automáticamente el riesgo de cada obra y genera alertas de </w:t>
      </w:r>
      <w:r>
        <w:rPr>
          <w:rFonts w:ascii="Calibri" w:hAnsi="Calibri"/>
          <w:b/>
          <w:i w:val="0"/>
          <w:color w:val="1A2329"/>
          <w:sz w:val="22"/>
        </w:rPr>
        <w:t>diecisiete tipos</w:t>
      </w:r>
      <w:r>
        <w:rPr>
          <w:rFonts w:ascii="Calibri" w:hAnsi="Calibri"/>
          <w:b w:val="0"/>
          <w:i w:val="0"/>
          <w:color w:val="1A2329"/>
          <w:sz w:val="22"/>
        </w:rPr>
        <w:t xml:space="preserve">, cada una con un nivel de </w:t>
      </w:r>
      <w:r>
        <w:rPr>
          <w:rFonts w:ascii="Calibri" w:hAnsi="Calibri"/>
          <w:b/>
          <w:i w:val="0"/>
          <w:color w:val="1A2329"/>
          <w:sz w:val="22"/>
        </w:rPr>
        <w:t>severidad</w:t>
      </w:r>
      <w:r>
        <w:rPr>
          <w:rFonts w:ascii="Calibri" w:hAnsi="Calibri"/>
          <w:b w:val="0"/>
          <w:i w:val="0"/>
          <w:color w:val="1A2329"/>
          <w:sz w:val="22"/>
        </w:rPr>
        <w:t xml:space="preserve"> (crítica, alta, media o baja) que ordena visualmente qué atender primero. Seis reglas iniciales cubren el estado inmediato —tarea bloqueada, riesgo de demora, tarea vencida, falta de respuesta, reprogramación solicitada y recepción de pedido—; a ellas se sumaron </w:t>
      </w:r>
      <w:r>
        <w:rPr>
          <w:rFonts w:ascii="Calibri" w:hAnsi="Calibri"/>
          <w:b/>
          <w:i w:val="0"/>
          <w:color w:val="1A2329"/>
          <w:sz w:val="22"/>
        </w:rPr>
        <w:t>once reglas de detección de riesgo</w:t>
      </w:r>
      <w:r>
        <w:rPr>
          <w:rFonts w:ascii="Calibri" w:hAnsi="Calibri"/>
          <w:b w:val="0"/>
          <w:i w:val="0"/>
          <w:color w:val="1A2329"/>
          <w:sz w:val="22"/>
        </w:rPr>
        <w:t xml:space="preserve"> que cruzan información que el sistema ya calculaba pero no utilizaba para alertar: la </w:t>
      </w:r>
      <w:r>
        <w:rPr>
          <w:rFonts w:ascii="Calibri" w:hAnsi="Calibri"/>
          <w:b/>
          <w:i w:val="0"/>
          <w:color w:val="1A2329"/>
          <w:sz w:val="22"/>
        </w:rPr>
        <w:t>ruta crítica</w:t>
      </w:r>
      <w:r>
        <w:rPr>
          <w:rFonts w:ascii="Calibri" w:hAnsi="Calibri"/>
          <w:b w:val="0"/>
          <w:i w:val="0"/>
          <w:color w:val="1A2329"/>
          <w:sz w:val="22"/>
        </w:rPr>
        <w:t xml:space="preserve"> (una tarea sin holgura que se atrasa corre la fecha de fin de toda la obra, y su holgura decreciente anticipa que está por volverse crítica), la </w:t>
      </w:r>
      <w:r>
        <w:rPr>
          <w:rFonts w:ascii="Calibri" w:hAnsi="Calibri"/>
          <w:b/>
          <w:i w:val="0"/>
          <w:color w:val="1A2329"/>
          <w:sz w:val="22"/>
        </w:rPr>
        <w:t>línea base</w:t>
      </w:r>
      <w:r>
        <w:rPr>
          <w:rFonts w:ascii="Calibri" w:hAnsi="Calibri"/>
          <w:b w:val="0"/>
          <w:i w:val="0"/>
          <w:color w:val="1A2329"/>
          <w:sz w:val="22"/>
        </w:rPr>
        <w:t xml:space="preserve"> (desvío entre lo planificado y lo replanificado), el </w:t>
      </w:r>
      <w:r>
        <w:rPr>
          <w:rFonts w:ascii="Calibri" w:hAnsi="Calibri"/>
          <w:b/>
          <w:i w:val="0"/>
          <w:color w:val="1A2329"/>
          <w:sz w:val="22"/>
        </w:rPr>
        <w:t>aprovisionamiento</w:t>
      </w:r>
      <w:r>
        <w:rPr>
          <w:rFonts w:ascii="Calibri" w:hAnsi="Calibri"/>
          <w:b w:val="0"/>
          <w:i w:val="0"/>
          <w:color w:val="1A2329"/>
          <w:sz w:val="22"/>
        </w:rPr>
        <w:t xml:space="preserve"> (materiales sin pedir, pedidos que el proveedor nunca confirmó y materiales que van a bloquear una tarea próxima a arrancar), el </w:t>
      </w:r>
      <w:r>
        <w:rPr>
          <w:rFonts w:ascii="Calibri" w:hAnsi="Calibri"/>
          <w:b/>
          <w:i w:val="0"/>
          <w:color w:val="1A2329"/>
          <w:sz w:val="22"/>
        </w:rPr>
        <w:t>calendario laboral</w:t>
      </w:r>
      <w:r>
        <w:rPr>
          <w:rFonts w:ascii="Calibri" w:hAnsi="Calibri"/>
          <w:b w:val="0"/>
          <w:i w:val="0"/>
          <w:color w:val="1A2329"/>
          <w:sz w:val="22"/>
        </w:rPr>
        <w:t xml:space="preserve"> (vencimientos que caen en feriado o día no laborable), el </w:t>
      </w:r>
      <w:r>
        <w:rPr>
          <w:rFonts w:ascii="Calibri" w:hAnsi="Calibri"/>
          <w:b/>
          <w:i w:val="0"/>
          <w:color w:val="1A2329"/>
          <w:sz w:val="22"/>
        </w:rPr>
        <w:t>historial</w:t>
      </w:r>
      <w:r>
        <w:rPr>
          <w:rFonts w:ascii="Calibri" w:hAnsi="Calibri"/>
          <w:b w:val="0"/>
          <w:i w:val="0"/>
          <w:color w:val="1A2329"/>
          <w:sz w:val="22"/>
        </w:rPr>
        <w:t xml:space="preserve"> (tareas que se bloquean una y otra vez, responsables que acumulan faltas de respuesta) y los </w:t>
      </w:r>
      <w:r>
        <w:rPr>
          <w:rFonts w:ascii="Calibri" w:hAnsi="Calibri"/>
          <w:b/>
          <w:i w:val="0"/>
          <w:color w:val="1A2329"/>
          <w:sz w:val="22"/>
        </w:rPr>
        <w:t>hitos</w:t>
      </w:r>
      <w:r>
        <w:rPr>
          <w:rFonts w:ascii="Calibri" w:hAnsi="Calibri"/>
          <w:b w:val="0"/>
          <w:i w:val="0"/>
          <w:color w:val="1A2329"/>
          <w:sz w:val="22"/>
        </w:rPr>
        <w:t xml:space="preserve"> (compromisos próximos con tareas previas sin terminar). El cambio cualitativo es que el sistema deja de limitarse a informar que algo </w:t>
      </w:r>
      <w:r>
        <w:rPr>
          <w:rFonts w:ascii="Calibri" w:hAnsi="Calibri"/>
          <w:b/>
          <w:i w:val="0"/>
          <w:color w:val="1A2329"/>
          <w:sz w:val="22"/>
        </w:rPr>
        <w:t>ya</w:t>
      </w:r>
      <w:r>
        <w:rPr>
          <w:rFonts w:ascii="Calibri" w:hAnsi="Calibri"/>
          <w:b w:val="0"/>
          <w:i w:val="0"/>
          <w:color w:val="1A2329"/>
          <w:sz w:val="22"/>
        </w:rPr>
        <w:t xml:space="preserve"> salió mal para avisar que </w:t>
      </w:r>
      <w:r>
        <w:rPr>
          <w:rFonts w:ascii="Calibri" w:hAnsi="Calibri"/>
          <w:b/>
          <w:i w:val="0"/>
          <w:color w:val="1A2329"/>
          <w:sz w:val="22"/>
        </w:rPr>
        <w:t>va a</w:t>
      </w:r>
      <w:r>
        <w:rPr>
          <w:rFonts w:ascii="Calibri" w:hAnsi="Calibri"/>
          <w:b w:val="0"/>
          <w:i w:val="0"/>
          <w:color w:val="1A2329"/>
          <w:sz w:val="22"/>
        </w:rPr>
        <w:t xml:space="preserve"> salir mal, mientras todavía hay margen de reacción. Cada regla puede habilitarse o deshabilitarse por empresa y tiene su umbral configurable, y se ejecutan en tres frecuencias según su naturaleza: las que miran el estado del día cada cuatro horas, las que comparan contra el estado del día anterior una vez por día, y las que detectan patrones acumulados sobre el historial una vez por semana. Las alertas se emiten en tiempo real por Socket.IO, se deduplican para no repetir un aviso vigente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La dirección inversa (desde una nota hacia el detalle de la tarea) todavía no tiene </w:t>
      </w:r>
      <w:r>
        <w:rPr>
          <w:rFonts w:ascii="Calibri" w:hAnsi="Calibri"/>
          <w:b w:val="0"/>
          <w:i/>
          <w:color w:val="1A2329"/>
          <w:sz w:val="22"/>
        </w:rPr>
        <w:t>click-through</w:t>
      </w:r>
      <w:r>
        <w:rPr>
          <w:rFonts w:ascii="Calibri" w:hAnsi="Calibri"/>
          <w:b w:val="0"/>
          <w:i w:val="0"/>
          <w:color w:val="1A2329"/>
          <w:sz w:val="22"/>
        </w:rPr>
        <w:t xml:space="preserve">: la sugerencia muestra el nombre de la tarea como texto plano.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docs/analisis/analisis-modulo-*.md</w:t>
      </w:r>
      <w:r>
        <w:rPr>
          <w:rFonts w:ascii="Calibri" w:hAnsi="Calibri"/>
          <w:b w:val="0"/>
          <w:i w:val="0"/>
          <w:color w:val="1A2329"/>
          <w:sz w:val="22"/>
        </w:rPr>
        <w:t>) consolidados en un informe maestro (</w:t>
      </w:r>
      <w:r>
        <w:rPr>
          <w:rFonts w:ascii="Consolas" w:hAnsi="Consolas"/>
          <w:b w:val="0"/>
          <w:i w:val="0"/>
          <w:color w:val="1A2329"/>
          <w:sz w:val="21"/>
        </w:rPr>
        <w:t>docs/auditoria/auditoria-sistema-consolidada.md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513 tests distribuidos en 46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permisos por obra, autenticación, </w:t>
      </w:r>
      <w:r>
        <w:rPr>
          <w:rFonts w:ascii="Calibri" w:hAnsi="Calibri"/>
          <w:b w:val="0"/>
          <w:i/>
          <w:color w:val="1A2329"/>
          <w:sz w:val="22"/>
        </w:rPr>
        <w:t>rate limiting</w:t>
      </w:r>
      <w:r>
        <w:rPr>
          <w:rFonts w:ascii="Calibri" w:hAnsi="Calibri"/>
          <w:b w:val="0"/>
          <w:i w:val="0"/>
          <w:color w:val="1A2329"/>
          <w:sz w:val="22"/>
        </w:rPr>
        <w:t>, importaciones, robustez de infraestructura y un archivo por módulo auditado. Los tests de frontend y la automatización end-to-end quedan pendientes; se declaran explícitamente en las secciones de Implementación y de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 El mismo principio se confirmó en otro plano al implementar la detección de riesgo: la suite automatizada corre sobre SQLite, y recién al aplicar las migraciones sobre PostgreSQL apareció una comparación entre una columna de tipo enumerado y un parámetro de texto que ese motor no admite, y que en SQLite pasaba inadvertida por representar los enumerados como texto.</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docs/referencia/casos_de_prueba.md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r>
        <w:tc>
          <w:tcPr>
            <w:tcW w:type="dxa" w:w="3120"/>
          </w:tcPr>
          <w:p>
            <w:r/>
            <w:r>
              <w:rPr>
                <w:rFonts w:ascii="Calibri" w:hAnsi="Calibri"/>
                <w:b w:val="0"/>
                <w:i w:val="0"/>
                <w:color w:val="1A2329"/>
                <w:sz w:val="20"/>
              </w:rPr>
              <w:t>Riesgo en la ruta crítica</w:t>
            </w:r>
          </w:p>
        </w:tc>
        <w:tc>
          <w:tcPr>
            <w:tcW w:type="dxa" w:w="3120"/>
          </w:tcPr>
          <w:p>
            <w:r/>
            <w:r>
              <w:rPr>
                <w:rFonts w:ascii="Calibri" w:hAnsi="Calibri"/>
                <w:b w:val="0"/>
                <w:i w:val="0"/>
                <w:color w:val="1A2329"/>
                <w:sz w:val="20"/>
              </w:rPr>
              <w:t>Encadenar dos tareas sin holgura y dejar vencer la primera</w:t>
            </w:r>
          </w:p>
        </w:tc>
        <w:tc>
          <w:tcPr>
            <w:tcW w:type="dxa" w:w="3120"/>
          </w:tcPr>
          <w:p>
            <w:r/>
            <w:r>
              <w:rPr>
                <w:rFonts w:ascii="Calibri" w:hAnsi="Calibri"/>
                <w:b w:val="0"/>
                <w:i w:val="0"/>
                <w:color w:val="1A2329"/>
                <w:sz w:val="20"/>
              </w:rPr>
              <w:t>Se genera una alerta de severidad crítica que indica que la fecha de fin de obra ya se corrió, distinta de la alerta común de tarea vencida.</w:t>
            </w:r>
          </w:p>
        </w:tc>
      </w:tr>
      <w:tr>
        <w:tc>
          <w:tcPr>
            <w:tcW w:type="dxa" w:w="3120"/>
            <w:shd w:val="clear" w:fill="F6F7F6"/>
          </w:tcPr>
          <w:p>
            <w:r/>
            <w:r>
              <w:rPr>
                <w:rFonts w:ascii="Calibri" w:hAnsi="Calibri"/>
                <w:b w:val="0"/>
                <w:i w:val="0"/>
                <w:color w:val="1A2329"/>
                <w:sz w:val="20"/>
              </w:rPr>
              <w:t>Material que va a bloquear una tarea</w:t>
            </w:r>
          </w:p>
        </w:tc>
        <w:tc>
          <w:tcPr>
            <w:tcW w:type="dxa" w:w="3120"/>
            <w:shd w:val="clear" w:fill="F6F7F6"/>
          </w:tcPr>
          <w:p>
            <w:r/>
            <w:r>
              <w:rPr>
                <w:rFonts w:ascii="Calibri" w:hAnsi="Calibri"/>
                <w:b w:val="0"/>
                <w:i w:val="0"/>
                <w:color w:val="1A2329"/>
                <w:sz w:val="20"/>
              </w:rPr>
              <w:t>Cargar un material sin recibir en una tarea que arranca en pocos días</w:t>
            </w:r>
          </w:p>
        </w:tc>
        <w:tc>
          <w:tcPr>
            <w:tcW w:type="dxa" w:w="3120"/>
            <w:shd w:val="clear" w:fill="F6F7F6"/>
          </w:tcPr>
          <w:p>
            <w:r/>
            <w:r>
              <w:rPr>
                <w:rFonts w:ascii="Calibri" w:hAnsi="Calibri"/>
                <w:b w:val="0"/>
                <w:i w:val="0"/>
                <w:color w:val="1A2329"/>
                <w:sz w:val="20"/>
              </w:rPr>
              <w:t>Se avisa antes de que la tarea llegue a estado Bloqueada, indicando qué material falta.</w:t>
            </w:r>
          </w:p>
        </w:tc>
      </w:tr>
      <w:tr>
        <w:tc>
          <w:tcPr>
            <w:tcW w:type="dxa" w:w="3120"/>
          </w:tcPr>
          <w:p>
            <w:r/>
            <w:r>
              <w:rPr>
                <w:rFonts w:ascii="Calibri" w:hAnsi="Calibri"/>
                <w:b w:val="0"/>
                <w:i w:val="0"/>
                <w:color w:val="1A2329"/>
                <w:sz w:val="20"/>
              </w:rPr>
              <w:t>Configuración de una regla de riesgo</w:t>
            </w:r>
          </w:p>
        </w:tc>
        <w:tc>
          <w:tcPr>
            <w:tcW w:type="dxa" w:w="3120"/>
          </w:tcPr>
          <w:p>
            <w:r/>
            <w:r>
              <w:rPr>
                <w:rFonts w:ascii="Calibri" w:hAnsi="Calibri"/>
                <w:b w:val="0"/>
                <w:i w:val="0"/>
                <w:color w:val="1A2329"/>
                <w:sz w:val="20"/>
              </w:rPr>
              <w:t>Deshabilitar una regla desde Configuración y ejecutar la evaluación</w:t>
            </w:r>
          </w:p>
        </w:tc>
        <w:tc>
          <w:tcPr>
            <w:tcW w:type="dxa" w:w="3120"/>
          </w:tcPr>
          <w:p>
            <w:r/>
            <w:r>
              <w:rPr>
                <w:rFonts w:ascii="Calibri" w:hAnsi="Calibri"/>
                <w:b w:val="0"/>
                <w:i w:val="0"/>
                <w:color w:val="1A2329"/>
                <w:sz w:val="20"/>
              </w:rPr>
              <w:t>Esa regla deja de generar alertas y las demás siguen funcionando.</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513 tests automatizados (</w:t>
      </w:r>
      <w:r>
        <w:rPr>
          <w:rFonts w:ascii="Calibri" w:hAnsi="Calibri"/>
          <w:b w:val="0"/>
          <w:i/>
          <w:color w:val="3E4A52"/>
          <w:sz w:val="21"/>
        </w:rPr>
        <w:t>pytest</w:t>
      </w:r>
      <w:r>
        <w:rPr>
          <w:rFonts w:ascii="Calibri" w:hAnsi="Calibri"/>
          <w:b w:val="0"/>
          <w:i/>
          <w:color w:val="3E4A52"/>
          <w:sz w:val="21"/>
        </w:rPr>
        <w:t>, 46 archivos) corriendo en integración continua. No existen todavía pruebas automatizadas de frontend (</w:t>
      </w:r>
      <w:r>
        <w:rPr>
          <w:rFonts w:ascii="Calibri" w:hAnsi="Calibri"/>
          <w:b w:val="0"/>
          <w:i/>
          <w:color w:val="3E4A52"/>
          <w:sz w:val="21"/>
        </w:rPr>
        <w:t>Vitest</w:t>
      </w:r>
      <w:r>
        <w:rPr>
          <w:rFonts w:ascii="Calibri" w:hAnsi="Calibri"/>
          <w:b w:val="0"/>
          <w:i/>
          <w:color w:val="3E4A52"/>
          <w:sz w:val="21"/>
        </w:rPr>
        <w:t xml:space="preserve"> u otro) ni de extremo a extremo (</w:t>
      </w:r>
      <w:r>
        <w:rPr>
          <w:rFonts w:ascii="Calibri" w:hAnsi="Calibri"/>
          <w:b w:val="0"/>
          <w:i/>
          <w:color w:val="3E4A52"/>
          <w:sz w:val="21"/>
        </w:rPr>
        <w:t>Playwright</w:t>
      </w:r>
      <w:r>
        <w:rPr>
          <w:rFonts w:ascii="Calibri" w:hAnsi="Calibri"/>
          <w:b w:val="0"/>
          <w:i/>
          <w:color w:val="3E4A52"/>
          <w:sz w:val="21"/>
        </w:rPr>
        <w:t>); se deja declarada esta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la suite automatizada cubre el backend (72 tests con pytest en 16 archivos) pero no incluye todavía pruebas automatizadas de frontend ni de extremo a extremo, ni una métrica de cobertura de código;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Aguilar, F. J. (1967). </w:t>
      </w:r>
      <w:r>
        <w:rPr>
          <w:rFonts w:ascii="Calibri" w:hAnsi="Calibri"/>
          <w:b w:val="0"/>
          <w:i/>
          <w:color w:val="1A2329"/>
          <w:sz w:val="22"/>
        </w:rPr>
        <w:t>Scanning the business environment</w:t>
      </w:r>
      <w:r>
        <w:rPr>
          <w:rFonts w:ascii="Calibri" w:hAnsi="Calibri"/>
          <w:b w:val="0"/>
          <w:i w:val="0"/>
          <w:color w:val="1A2329"/>
          <w:sz w:val="22"/>
        </w:rPr>
        <w:t>. Macmillan.</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Honorable Congreso de la Nación Argentina. (2000). </w:t>
      </w:r>
      <w:r>
        <w:rPr>
          <w:rFonts w:ascii="Calibri" w:hAnsi="Calibri"/>
          <w:b w:val="0"/>
          <w:i/>
          <w:color w:val="1A2329"/>
          <w:sz w:val="22"/>
        </w:rPr>
        <w:t>Ley 25.326 de Protección de los Datos Personales</w:t>
      </w:r>
      <w:r>
        <w:rPr>
          <w:rFonts w:ascii="Calibri" w:hAnsi="Calibri"/>
          <w:b w:val="0"/>
          <w:i w:val="0"/>
          <w:color w:val="1A2329"/>
          <w:sz w:val="22"/>
        </w:rPr>
        <w:t>. Boletín Oficial de la República Argentina. https://servicios.infoleg.gob.ar/infolegInternet/anexos/60000-64999/64790/norma.htm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docs/referencia/database.md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docs/auditoria/auditoria-general.md</w:t>
      </w:r>
      <w:r>
        <w:rPr>
          <w:rFonts w:ascii="Calibri" w:hAnsi="Calibri"/>
          <w:b w:val="0"/>
          <w:i w:val="0"/>
          <w:color w:val="1A2329"/>
          <w:sz w:val="22"/>
        </w:rPr>
        <w:t xml:space="preserve">, </w:t>
      </w:r>
      <w:r>
        <w:rPr>
          <w:rFonts w:ascii="Consolas" w:hAnsi="Consolas"/>
          <w:b w:val="0"/>
          <w:i w:val="0"/>
          <w:color w:val="1A2329"/>
          <w:sz w:val="21"/>
        </w:rPr>
        <w:t>docs/auditoria/auditoria-ux.md</w:t>
      </w:r>
      <w:r>
        <w:rPr>
          <w:rFonts w:ascii="Calibri" w:hAnsi="Calibri"/>
          <w:b w:val="0"/>
          <w:i w:val="0"/>
          <w:color w:val="1A2329"/>
          <w:sz w:val="22"/>
        </w:rPr>
        <w:t xml:space="preserve">, </w:t>
      </w:r>
      <w:r>
        <w:rPr>
          <w:rFonts w:ascii="Consolas" w:hAnsi="Consolas"/>
          <w:b w:val="0"/>
          <w:i w:val="0"/>
          <w:color w:val="1A2329"/>
          <w:sz w:val="21"/>
        </w:rPr>
        <w:t>docs/auditoria/auditoria-flujo-alta.md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