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docs/implementacion-reglas-riesgo.md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Las alertas se entregan dentro de la aplicación; el envío de las de severidad crítica por WhatsApp al jefe de obra queda como extensión natural. Las reglas nuevas no se auto-resuelven cuando la condición desaparece, como sí lo hacen las 6 anteriores.</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sesenta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0064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(sesenta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0064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356 tests distribuidos en 38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356 tests automatizados (</w:t>
      </w:r>
      <w:r>
        <w:rPr>
          <w:rFonts w:ascii="Calibri" w:hAnsi="Calibri"/>
          <w:b w:val="0"/>
          <w:i/>
          <w:color w:val="3E4A52"/>
          <w:sz w:val="21"/>
        </w:rPr>
        <w:t>pytest</w:t>
      </w:r>
      <w:r>
        <w:rPr>
          <w:rFonts w:ascii="Calibri" w:hAnsi="Calibri"/>
          <w:b w:val="0"/>
          <w:i/>
          <w:color w:val="3E4A52"/>
          <w:sz w:val="21"/>
        </w:rPr>
        <w:t>, 38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