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521 tests distribuidos en 46 archivos (ejecutados en integración continua), que cubren aislamiento por tenant, autenticación, rate limiting e importaciones, sumados a 25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una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521 tests distribuidos en 46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xml:space="preserve">, importaciones, robustez de infraestructura y un archivo por módulo auditado.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521 tests automatizados (</w:t>
      </w:r>
      <w:r>
        <w:rPr>
          <w:rFonts w:ascii="Calibri" w:hAnsi="Calibri"/>
          <w:b w:val="0"/>
          <w:i/>
          <w:color w:val="3E4A52"/>
          <w:sz w:val="21"/>
        </w:rPr>
        <w:t>pytest</w:t>
      </w:r>
      <w:r>
        <w:rPr>
          <w:rFonts w:ascii="Calibri" w:hAnsi="Calibri"/>
          <w:b w:val="0"/>
          <w:i/>
          <w:color w:val="3E4A52"/>
          <w:sz w:val="21"/>
        </w:rPr>
        <w:t>, 46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(521 tests con </w:t>
      </w:r>
      <w:r>
        <w:rPr>
          <w:rFonts w:ascii="Calibri" w:hAnsi="Calibri"/>
          <w:b w:val="0"/>
          <w:i/>
          <w:color w:val="1A2329"/>
          <w:sz w:val="22"/>
        </w:rPr>
        <w:t>pytest</w:t>
      </w:r>
      <w:r>
        <w:rPr>
          <w:rFonts w:ascii="Calibri" w:hAnsi="Calibri"/>
          <w:b w:val="0"/>
          <w:i w:val="0"/>
          <w:color w:val="1A2329"/>
          <w:sz w:val="22"/>
        </w:rPr>
        <w:t xml:space="preserve"> en 46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