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«Apellido, Nombre»</w:t>
      </w:r>
    </w:p>
    <w:p>
      <w:pPr>
        <w:spacing w:after="40"/>
        <w:jc w:val="center"/>
      </w:pPr>
      <w:r>
        <w:rPr>
          <w:rFonts w:ascii="Calibri" w:hAnsi="Calibri"/>
          <w:b w:val="0"/>
          <w:i w:val="0"/>
          <w:color w:val="1A2329"/>
          <w:sz w:val="22"/>
        </w:rPr>
        <w:t>«Apellido, Nombre»</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exacta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pegar en el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son datos que solo el equipo puede aportar (integrantes, directores, fechas, cifras reales). Las figuras están indicadas con un marcador </w:t>
      </w:r>
      <w:r>
        <w:rPr>
          <w:rFonts w:ascii="Consolas" w:hAnsi="Consolas"/>
          <w:b w:val="0"/>
          <w:i w:val="0"/>
          <w:color w:val="3E4A52"/>
          <w:sz w:val="20"/>
        </w:rPr>
        <w:t>[FIGURA n: …]</w:t>
      </w:r>
      <w:r>
        <w:rPr>
          <w:rFonts w:ascii="Calibri" w:hAnsi="Calibri"/>
          <w:b w:val="0"/>
          <w:i w:val="0"/>
          <w:color w:val="3E4A52"/>
          <w:sz w:val="21"/>
        </w:rPr>
        <w:t xml:space="preserve"> para que se inserten las capturas/diagramas correspondientes. Las citas usan formato APA v7; la lista de referencias está al final.</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 xml:space="preserve">La industria de la construcción gestiona la comunicación de obra de manera predominantemente informal —mensajes de WhatsApp, llamadas telefónicas y notas de papel—, lo que provoca que el avance real del trabajo en el campo no quede registrado ni vinculado al plan de obra. </w:t>
      </w:r>
      <w:r>
        <w:rPr>
          <w:rFonts w:ascii="Calibri" w:hAnsi="Calibri"/>
          <w:b w:val="0"/>
          <w:i/>
          <w:color w:val="1A2329"/>
          <w:sz w:val="22"/>
        </w:rPr>
        <w:t>(Introducción)</w:t>
      </w:r>
    </w:p>
    <w:p>
      <w:pPr>
        <w:spacing w:after="160" w:lineRule="auto" w:line="276"/>
        <w:jc w:val="both"/>
      </w:pPr>
      <w:r>
        <w:rPr>
          <w:rFonts w:ascii="Calibri" w:hAnsi="Calibri"/>
          <w:b w:val="0"/>
          <w:i w:val="0"/>
          <w:color w:val="1A2329"/>
          <w:sz w:val="22"/>
        </w:rPr>
        <w:t xml:space="preserve">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 </w:t>
      </w:r>
      <w:r>
        <w:rPr>
          <w:rFonts w:ascii="Calibri" w:hAnsi="Calibri"/>
          <w:b w:val="0"/>
          <w:i/>
          <w:color w:val="1A2329"/>
          <w:sz w:val="22"/>
        </w:rPr>
        <w:t>(Problemática)</w:t>
      </w:r>
    </w:p>
    <w:p>
      <w:pPr>
        <w:spacing w:after="160" w:lineRule="auto" w:line="276"/>
        <w:jc w:val="both"/>
      </w:pPr>
      <w:r>
        <w:rPr>
          <w:rFonts w:ascii="Calibri" w:hAnsi="Calibri"/>
          <w:b w:val="0"/>
          <w:i w:val="0"/>
          <w:color w:val="1A2329"/>
          <w:sz w:val="22"/>
        </w:rPr>
        <w:t xml:space="preserve">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 </w:t>
      </w:r>
      <w:r>
        <w:rPr>
          <w:rFonts w:ascii="Calibri" w:hAnsi="Calibri"/>
          <w:b w:val="0"/>
          <w:i/>
          <w:color w:val="1A2329"/>
          <w:sz w:val="22"/>
        </w:rPr>
        <w:t>(Metodología — Solución)</w:t>
      </w:r>
    </w:p>
    <w:p>
      <w:pPr>
        <w:spacing w:after="160" w:lineRule="auto" w:line="276"/>
        <w:jc w:val="both"/>
      </w:pPr>
      <w:r>
        <w:rPr>
          <w:rFonts w:ascii="Calibri" w:hAnsi="Calibri"/>
          <w:b w:val="0"/>
          <w:i w:val="0"/>
          <w:color w:val="1A2329"/>
          <w:sz w:val="22"/>
        </w:rPr>
        <w:t xml:space="preserve">La solución implementada cubre el ciclo completo de gestión: planificación con diagrama de Gantt, dependencias y ruta crítica; carga masiva de tareas con una planilla de edición tipo hoja de cálculo; alertas automáticas de demoras; bitácora de obra por voz asistida por IA; gestión documental de presupuestos con lectura y comparación automática; y un repositorio de planos versionados consultables por WhatsApp. </w:t>
      </w:r>
      <w:r>
        <w:rPr>
          <w:rFonts w:ascii="Calibri" w:hAnsi="Calibri"/>
          <w:b w:val="0"/>
          <w:i/>
          <w:color w:val="1A2329"/>
          <w:sz w:val="22"/>
        </w:rPr>
        <w:t>(Resultados)</w:t>
      </w:r>
    </w:p>
    <w:p>
      <w:pPr>
        <w:spacing w:after="160" w:lineRule="auto" w:line="276"/>
        <w:jc w:val="both"/>
      </w:pPr>
      <w:r>
        <w:rPr>
          <w:rFonts w:ascii="Calibri" w:hAnsi="Calibri"/>
          <w:b w:val="0"/>
          <w:i w:val="0"/>
          <w:color w:val="1A2329"/>
          <w:sz w:val="22"/>
        </w:rPr>
        <w:t xml:space="preserve">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 </w:t>
      </w:r>
      <w:r>
        <w:rPr>
          <w:rFonts w:ascii="Calibri" w:hAnsi="Calibri"/>
          <w:b w:val="0"/>
          <w:i/>
          <w:color w:val="1A2329"/>
          <w:sz w:val="22"/>
        </w:rPr>
        <w:t>(Conclusión)</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 xml:space="preserve">The construction industry manages on-site communication mostly informally —WhatsApp messages, phone calls and paper notes—, which means that the real progress of field work is neither recorded nor linked to the work plan. </w:t>
      </w:r>
      <w:r>
        <w:rPr>
          <w:rFonts w:ascii="Calibri" w:hAnsi="Calibri"/>
          <w:b w:val="0"/>
          <w:i/>
          <w:color w:val="1A2329"/>
          <w:sz w:val="22"/>
        </w:rPr>
        <w:t>(Introduction)</w:t>
      </w:r>
    </w:p>
    <w:p>
      <w:pPr>
        <w:spacing w:after="160" w:lineRule="auto" w:line="276"/>
        <w:jc w:val="both"/>
      </w:pPr>
      <w:r>
        <w:rPr>
          <w:rFonts w:ascii="Calibri" w:hAnsi="Calibri"/>
          <w:b w:val="0"/>
          <w:i w:val="0"/>
          <w:color w:val="1A2329"/>
          <w:sz w:val="22"/>
        </w:rPr>
        <w:t xml:space="preserve">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 </w:t>
      </w:r>
      <w:r>
        <w:rPr>
          <w:rFonts w:ascii="Calibri" w:hAnsi="Calibri"/>
          <w:b w:val="0"/>
          <w:i/>
          <w:color w:val="1A2329"/>
          <w:sz w:val="22"/>
        </w:rPr>
        <w:t>(Problem)</w:t>
      </w:r>
    </w:p>
    <w:p>
      <w:pPr>
        <w:spacing w:after="160" w:lineRule="auto" w:line="276"/>
        <w:jc w:val="both"/>
      </w:pPr>
      <w:r>
        <w:rPr>
          <w:rFonts w:ascii="Calibri" w:hAnsi="Calibri"/>
          <w:b w:val="0"/>
          <w:i w:val="0"/>
          <w:color w:val="1A2329"/>
          <w:sz w:val="22"/>
        </w:rPr>
        <w:t xml:space="preserve">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 </w:t>
      </w:r>
      <w:r>
        <w:rPr>
          <w:rFonts w:ascii="Calibri" w:hAnsi="Calibri"/>
          <w:b w:val="0"/>
          <w:i/>
          <w:color w:val="1A2329"/>
          <w:sz w:val="22"/>
        </w:rPr>
        <w:t>(Methodology — Solution)</w:t>
      </w:r>
    </w:p>
    <w:p>
      <w:pPr>
        <w:spacing w:after="160" w:lineRule="auto" w:line="276"/>
        <w:jc w:val="both"/>
      </w:pPr>
      <w:r>
        <w:rPr>
          <w:rFonts w:ascii="Calibri" w:hAnsi="Calibri"/>
          <w:b w:val="0"/>
          <w:i w:val="0"/>
          <w:color w:val="1A2329"/>
          <w:sz w:val="22"/>
        </w:rPr>
        <w:t xml:space="preserve">The implemented solution covers the full management cycle: planning with a Gantt chart, dependencies and critical path; bulk task entry through a spreadsheet-like grid; automatic delay alerts; AI-assisted voice work log; document management of quotes with automatic reading and comparison; and a repository of versioned blueprints queryable via WhatsApp. </w:t>
      </w:r>
      <w:r>
        <w:rPr>
          <w:rFonts w:ascii="Calibri" w:hAnsi="Calibri"/>
          <w:b w:val="0"/>
          <w:i/>
          <w:color w:val="1A2329"/>
          <w:sz w:val="22"/>
        </w:rPr>
        <w:t>(Results)</w:t>
      </w:r>
    </w:p>
    <w:p>
      <w:pPr>
        <w:spacing w:after="160" w:lineRule="auto" w:line="276"/>
        <w:jc w:val="both"/>
      </w:pPr>
      <w:r>
        <w:rPr>
          <w:rFonts w:ascii="Calibri" w:hAnsi="Calibri"/>
          <w:b w:val="0"/>
          <w:i w:val="0"/>
          <w:color w:val="1A2329"/>
          <w:sz w:val="22"/>
        </w:rPr>
        <w:t xml:space="preserve">In conclusion, CONSTRUCTA shows that it is feasible to reduce on-site adoption friction by keeping the communication channel teams already use, and that adding AI on top of that channel turns informal messages into structured, actionable information about the work plan. </w:t>
      </w:r>
      <w:r>
        <w:rPr>
          <w:rFonts w:ascii="Calibri" w:hAnsi="Calibri"/>
          <w:b w:val="0"/>
          <w:i/>
          <w:color w:val="1A2329"/>
          <w:sz w:val="22"/>
        </w:rPr>
        <w:t>(Conclusion)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"sigue planificando igual que antes"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es, en sí mismo, una oportunidad de mejora con impacto directo en la productividad del sector.</w:t>
      </w:r>
    </w:p>
    <w:p>
      <w:pPr>
        <w:spacing w:before="80" w:after="160"/>
        <w:ind w:left="360"/>
        <w:jc w:val="both"/>
        <w:pBdr>
          <w:left w:val="single" w:sz="18" w:space="8" w:color="C9D0D5"/>
        </w:pBdr>
      </w:pPr>
      <w:r>
        <w:rPr>
          <w:rFonts w:ascii="Calibri" w:hAnsi="Calibri"/>
          <w:b/>
          <w:i/>
          <w:color w:val="3E4A52"/>
          <w:sz w:val="21"/>
        </w:rPr>
        <w:t>Nota:</w:t>
      </w:r>
      <w:r>
        <w:rPr>
          <w:rFonts w:ascii="Calibri" w:hAnsi="Calibri"/>
          <w:b w:val="0"/>
          <w:i/>
          <w:color w:val="3E4A52"/>
          <w:sz w:val="21"/>
        </w:rPr>
        <w:t xml:space="preserve"> la problemática aquí planteada no constituye un problema en sentido estricto, sino una oportunidad de mejora frente a una demanda insatisfecha: la falta de registro estructurado de la comunicación de obra.</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Estado del arte (contexto actual).</w:t>
      </w:r>
      <w:r>
        <w:rPr>
          <w:rFonts w:ascii="Calibri" w:hAnsi="Calibri"/>
          <w:b w:val="0"/>
          <w:i w:val="0"/>
          <w:color w:val="1A2329"/>
          <w:sz w:val="22"/>
        </w:rPr>
        <w:t xml:space="preserve"> En la operación cotidiana de una obra conviven dos mundos que rara vez se tocan. Por un lado, la </w:t>
      </w:r>
      <w:r>
        <w:rPr>
          <w:rFonts w:ascii="Calibri" w:hAnsi="Calibri"/>
          <w:b/>
          <w:i w:val="0"/>
          <w:color w:val="1A2329"/>
          <w:sz w:val="22"/>
        </w:rPr>
        <w:t>planificación</w:t>
      </w:r>
      <w:r>
        <w:rPr>
          <w:rFonts w:ascii="Calibri" w:hAnsi="Calibri"/>
          <w:b w:val="0"/>
          <w:i w:val="0"/>
          <w:color w:val="1A2329"/>
          <w:sz w:val="22"/>
        </w:rPr>
        <w:t xml:space="preserve">: el cronograma, las fechas y las dependencias se construyen en software de escritorio o planillas de cálculo. Por el otro, la </w:t>
      </w:r>
      <w:r>
        <w:rPr>
          <w:rFonts w:ascii="Calibri" w:hAnsi="Calibri"/>
          <w:b/>
          <w:i w:val="0"/>
          <w:color w:val="1A2329"/>
          <w:sz w:val="22"/>
        </w:rPr>
        <w:t>comunicación de campo</w:t>
      </w:r>
      <w:r>
        <w:rPr>
          <w:rFonts w:ascii="Calibri" w:hAnsi="Calibri"/>
          <w:b w:val="0"/>
          <w:i w:val="0"/>
          <w:color w:val="1A2329"/>
          <w:sz w:val="22"/>
        </w:rPr>
        <w:t>: el avance, los problemas, las decisiones y los pedidos circulan por WhatsApp, llamadas y notas informales. El responsable que está en el sitio conoce el estado real de cada tarea, pero ese conocimiento permanece en su teléfono y no se traslada de forma estructurada al plan.</w:t>
      </w:r>
    </w:p>
    <w:p>
      <w:pPr>
        <w:spacing w:after="160" w:lineRule="auto" w:line="276"/>
        <w:jc w:val="both"/>
      </w:pPr>
      <w:r>
        <w:rPr>
          <w:rFonts w:ascii="Calibri" w:hAnsi="Calibri"/>
          <w:b/>
          <w:i w:val="0"/>
          <w:color w:val="1A2329"/>
          <w:sz w:val="22"/>
        </w:rPr>
        <w:t>Impacto.</w:t>
      </w:r>
      <w:r>
        <w:rPr>
          <w:rFonts w:ascii="Calibri" w:hAnsi="Calibri"/>
          <w:b w:val="0"/>
          <w:i w:val="0"/>
          <w:color w:val="1A2329"/>
          <w:sz w:val="22"/>
        </w:rPr>
        <w:t xml:space="preserve"> Esta desconexión produce varios efectos negativos sobre los interesados:</w:t>
      </w:r>
    </w:p>
    <w:p>
      <w:pPr>
        <w:pStyle w:val="ListBullet"/>
        <w:spacing w:after="60"/>
        <w:jc w:val="both"/>
      </w:pPr>
      <w:r>
        <w:rPr>
          <w:rFonts w:ascii="Calibri" w:hAnsi="Calibri"/>
          <w:b/>
          <w:i w:val="0"/>
          <w:color w:val="1A2329"/>
          <w:sz w:val="22"/>
        </w:rPr>
        <w:t>Pérdida de trazabilidad:</w:t>
      </w:r>
      <w:r>
        <w:rPr>
          <w:rFonts w:ascii="Calibri" w:hAnsi="Calibri"/>
          <w:b w:val="0"/>
          <w:i w:val="0"/>
          <w:color w:val="1A2329"/>
          <w:sz w:val="22"/>
        </w:rPr>
        <w:t xml:space="preserve"> lo acordado por mensajería no queda asociado a la tarea ni a la obra; cuando surge un conflicto, no hay un registro consultable.</w:t>
      </w:r>
    </w:p>
    <w:p>
      <w:pPr>
        <w:pStyle w:val="ListBullet"/>
        <w:spacing w:after="60"/>
        <w:jc w:val="both"/>
      </w:pPr>
      <w:r>
        <w:rPr>
          <w:rFonts w:ascii="Calibri" w:hAnsi="Calibri"/>
          <w:b/>
          <w:i w:val="0"/>
          <w:color w:val="1A2329"/>
          <w:sz w:val="22"/>
        </w:rPr>
        <w:t>Demoras detectadas tarde:</w:t>
      </w:r>
      <w:r>
        <w:rPr>
          <w:rFonts w:ascii="Calibri" w:hAnsi="Calibri"/>
          <w:b w:val="0"/>
          <w:i w:val="0"/>
          <w:color w:val="1A2329"/>
          <w:sz w:val="22"/>
        </w:rPr>
        <w:t xml:space="preserve"> sin un mecanismo que vincule el reporte de campo con el cronograma, los atrasos se descubren cuando ya impactaron a tareas posteriores.</w:t>
      </w:r>
    </w:p>
    <w:p>
      <w:pPr>
        <w:pStyle w:val="ListBullet"/>
        <w:spacing w:after="60"/>
        <w:jc w:val="both"/>
      </w:pPr>
      <w:r>
        <w:rPr>
          <w:rFonts w:ascii="Calibri" w:hAnsi="Calibri"/>
          <w:b/>
          <w:i w:val="0"/>
          <w:color w:val="1A2329"/>
          <w:sz w:val="22"/>
        </w:rPr>
        <w:t>Retrabajo de carga:</w:t>
      </w:r>
      <w:r>
        <w:rPr>
          <w:rFonts w:ascii="Calibri" w:hAnsi="Calibri"/>
          <w:b w:val="0"/>
          <w:i w:val="0"/>
          <w:color w:val="1A2329"/>
          <w:sz w:val="22"/>
        </w:rPr>
        <w:t xml:space="preserve"> quien planifica debe transcribir manualmente a la herramienta de gestión lo que recibió por mensajes, duplicando esfuerzo y abriendo la puerta a errores.</w:t>
      </w:r>
    </w:p>
    <w:p>
      <w:pPr>
        <w:pStyle w:val="ListBullet"/>
        <w:spacing w:after="60"/>
        <w:jc w:val="both"/>
      </w:pPr>
      <w:r>
        <w:rPr>
          <w:rFonts w:ascii="Calibri" w:hAnsi="Calibri"/>
          <w:b/>
          <w:i w:val="0"/>
          <w:color w:val="1A2329"/>
          <w:sz w:val="22"/>
        </w:rPr>
        <w:t>Documentación dispersa:</w:t>
      </w:r>
      <w:r>
        <w:rPr>
          <w:rFonts w:ascii="Calibri" w:hAnsi="Calibri"/>
          <w:b w:val="0"/>
          <w:i w:val="0"/>
          <w:color w:val="1A2329"/>
          <w:sz w:val="22"/>
        </w:rPr>
        <w:t xml:space="preserve"> planos y presupuestos circulan por correo y chats; en obra es habitual trabajar sobre una versión desactualizada de un plano.</w:t>
      </w:r>
    </w:p>
    <w:p>
      <w:pPr>
        <w:spacing w:after="160" w:lineRule="auto" w:line="276"/>
        <w:jc w:val="both"/>
      </w:pPr>
      <w:r>
        <w:rPr>
          <w:rFonts w:ascii="Calibri" w:hAnsi="Calibri"/>
          <w:b/>
          <w:i w:val="0"/>
          <w:color w:val="1A2329"/>
          <w:sz w:val="22"/>
        </w:rPr>
        <w:t>Causa raíz: la fricción de adopción.</w:t>
      </w:r>
      <w:r>
        <w:rPr>
          <w:rFonts w:ascii="Calibri" w:hAnsi="Calibri"/>
          <w:b w:val="0"/>
          <w:i w:val="0"/>
          <w:color w:val="1A2329"/>
          <w:sz w:val="22"/>
        </w:rPr>
        <w:t xml:space="preserve"> Las herramientas de gestión existentes exigen que </w:t>
      </w:r>
      <w:r>
        <w:rPr>
          <w:rFonts w:ascii="Calibri" w:hAnsi="Calibri"/>
          <w:b w:val="0"/>
          <w:i/>
          <w:color w:val="1A2329"/>
          <w:sz w:val="22"/>
        </w:rPr>
        <w:t>cada</w:t>
      </w:r>
      <w:r>
        <w:rPr>
          <w:rFonts w:ascii="Calibri" w:hAnsi="Calibri"/>
          <w:b w:val="0"/>
          <w:i w:val="0"/>
          <w:color w:val="1A2329"/>
          <w:sz w:val="22"/>
        </w:rPr>
        <w:t xml:space="preserve"> participante —incluido el oficial o el contratista que solo necesita reportar "terminé el contrapiso"— instale, aprenda y use una aplicación nueva. En el contexto de obra, esa barrera rara vez se supera, por lo que las herramientas terminan siendo utilizadas únicamente por quien planifica y se desactualizan apenas la obra avanza.</w:t>
      </w:r>
    </w:p>
    <w:p>
      <w:pPr>
        <w:spacing w:after="160" w:lineRule="auto" w:line="276"/>
        <w:jc w:val="both"/>
      </w:pPr>
      <w:r>
        <w:rPr>
          <w:rFonts w:ascii="Calibri" w:hAnsi="Calibri"/>
          <w:b/>
          <w:i w:val="0"/>
          <w:color w:val="1A2329"/>
          <w:sz w:val="22"/>
        </w:rPr>
        <w:t>Oportunidad.</w:t>
      </w:r>
      <w:r>
        <w:rPr>
          <w:rFonts w:ascii="Calibri" w:hAnsi="Calibri"/>
          <w:b w:val="0"/>
          <w:i w:val="0"/>
          <w:color w:val="1A2329"/>
          <w:sz w:val="22"/>
        </w:rPr>
        <w:t xml:space="preserve"> Existe la oportunidad de capturar la información de campo </w:t>
      </w:r>
      <w:r>
        <w:rPr>
          <w:rFonts w:ascii="Calibri" w:hAnsi="Calibri"/>
          <w:b/>
          <w:i w:val="0"/>
          <w:color w:val="1A2329"/>
          <w:sz w:val="22"/>
        </w:rPr>
        <w:t>sin pedirle al equipo que cambie de canal</w:t>
      </w:r>
      <w:r>
        <w:rPr>
          <w:rFonts w:ascii="Calibri" w:hAnsi="Calibri"/>
          <w:b w:val="0"/>
          <w:i w:val="0"/>
          <w:color w:val="1A2329"/>
          <w:sz w:val="22"/>
        </w:rPr>
        <w:t>: si el responsable puede reportar desde el WhatsApp que ya usa, y ese reporte se conecta automáticamente con el plan, se elimina la fricción de adopción y se cierra el ciclo entre planificación y ejecución. Sobre ese canal, además, la incorporación de inteligencia artificial permite transformar mensajes informales (incluidas notas de voz) en datos estructurados y acciones sugeridas sobre el cronograma.</w:t>
      </w:r>
    </w:p>
    <w:p>
      <w:pPr>
        <w:spacing w:after="160" w:lineRule="auto" w:line="276"/>
        <w:jc w:val="both"/>
      </w:pPr>
      <w:r>
        <w:rPr>
          <w:rFonts w:ascii="Calibri" w:hAnsi="Calibri"/>
          <w:b w:val="0"/>
          <w:i w:val="0"/>
          <w:color w:val="1A2329"/>
          <w:sz w:val="22"/>
        </w:rPr>
        <w:t xml:space="preserve">El proyecto se dirige a dos perfiles de usuario representativos del sector: el </w:t>
      </w:r>
      <w:r>
        <w:rPr>
          <w:rFonts w:ascii="Calibri" w:hAnsi="Calibri"/>
          <w:b/>
          <w:i w:val="0"/>
          <w:color w:val="1A2329"/>
          <w:sz w:val="22"/>
        </w:rPr>
        <w:t>arquitecto o profesional independiente</w:t>
      </w:r>
      <w:r>
        <w:rPr>
          <w:rFonts w:ascii="Calibri" w:hAnsi="Calibri"/>
          <w:b w:val="0"/>
          <w:i w:val="0"/>
          <w:color w:val="1A2329"/>
          <w:sz w:val="22"/>
        </w:rPr>
        <w:t xml:space="preserve"> que concurre él mismo a la obra, y la </w:t>
      </w:r>
      <w:r>
        <w:rPr>
          <w:rFonts w:ascii="Calibri" w:hAnsi="Calibri"/>
          <w:b/>
          <w:i w:val="0"/>
          <w:color w:val="1A2329"/>
          <w:sz w:val="22"/>
        </w:rPr>
        <w:t>empresa constructora</w:t>
      </w:r>
      <w:r>
        <w:rPr>
          <w:rFonts w:ascii="Calibri" w:hAnsi="Calibri"/>
          <w:b w:val="0"/>
          <w:i w:val="0"/>
          <w:color w:val="1A2329"/>
          <w:sz w:val="22"/>
        </w:rPr>
        <w:t xml:space="preserve"> con una estructura de jefe de obra, administrador de obra y profesionales, donde el administrador es quien más frecuentemente está en el sitio.</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pStyle w:val="ListNumber"/>
        <w:spacing w:after="60"/>
        <w:jc w:val="both"/>
      </w:pPr>
      <w:r>
        <w:rPr>
          <w:rFonts w:ascii="Calibri" w:hAnsi="Calibri"/>
          <w:b w:val="0"/>
          <w:i w:val="0"/>
          <w:color w:val="1A2329"/>
          <w:sz w:val="22"/>
        </w:rPr>
        <w:t>Diseñar e implementar la gestión integral de obras: alta de obra, cronograma de tareas con fechas, dependencias entre tareas (cuatro tipos: FS, SS, FF, SF), subtareas (WBS) y calendario laboral.</w:t>
      </w:r>
    </w:p>
    <w:p>
      <w:pPr>
        <w:pStyle w:val="ListNumber"/>
        <w:spacing w:after="60"/>
        <w:jc w:val="both"/>
      </w:pPr>
      <w:r>
        <w:rPr>
          <w:rFonts w:ascii="Calibri" w:hAnsi="Calibri"/>
          <w:b w:val="0"/>
          <w:i w:val="0"/>
          <w:color w:val="1A2329"/>
          <w:sz w:val="22"/>
        </w:rPr>
        <w:t>Implementar la visualización del cronograma mediante un diagrama de Gantt interactivo con cálculo de ruta crítica (CPM), línea base y reprogramación en cascada.</w:t>
      </w:r>
    </w:p>
    <w:p>
      <w:pPr>
        <w:pStyle w:val="ListNumber"/>
        <w:spacing w:after="60"/>
        <w:jc w:val="both"/>
      </w:pPr>
      <w:r>
        <w:rPr>
          <w:rFonts w:ascii="Calibri" w:hAnsi="Calibri"/>
          <w:b w:val="0"/>
          <w:i w:val="0"/>
          <w:color w:val="1A2329"/>
          <w:sz w:val="22"/>
        </w:rPr>
        <w:t>Desarrollar un mecanismo de carga de tareas de baja fricción mediante una planilla de edición con gestos equivalentes a una hoja de cálculo (selección de rangos, relleno por arrastre, copiar/pegar bloques) e importación desde Excel y MS Project.</w:t>
      </w:r>
    </w:p>
    <w:p>
      <w:pPr>
        <w:pStyle w:val="ListNumber"/>
        <w:spacing w:after="60"/>
        <w:jc w:val="both"/>
      </w:pPr>
      <w:r>
        <w:rPr>
          <w:rFonts w:ascii="Calibri" w:hAnsi="Calibri"/>
          <w:b w:val="0"/>
          <w:i w:val="0"/>
          <w:color w:val="1A2329"/>
          <w:sz w:val="22"/>
        </w:rPr>
        <w:t>Construir un asistente de WhatsApp que identifique al emisor, permita a los responsables reportar el estado de sus tareas y registre notas de voz de obra.</w:t>
      </w:r>
    </w:p>
    <w:p>
      <w:pPr>
        <w:pStyle w:val="ListNumber"/>
        <w:spacing w:after="60"/>
        <w:jc w:val="both"/>
      </w:pPr>
      <w:r>
        <w:rPr>
          <w:rFonts w:ascii="Calibri" w:hAnsi="Calibri"/>
          <w:b w:val="0"/>
          <w:i w:val="0"/>
          <w:color w:val="1A2329"/>
          <w:sz w:val="22"/>
        </w:rPr>
        <w:t>Integrar inteligencia artificial para transcribir las notas de voz y producir un resumen con acciones sugeridas sobre el plan (bitácora de obra).</w:t>
      </w:r>
    </w:p>
    <w:p>
      <w:pPr>
        <w:pStyle w:val="ListNumber"/>
        <w:spacing w:after="60"/>
        <w:jc w:val="both"/>
      </w:pPr>
      <w:r>
        <w:rPr>
          <w:rFonts w:ascii="Calibri" w:hAnsi="Calibri"/>
          <w:b w:val="0"/>
          <w:i w:val="0"/>
          <w:color w:val="1A2329"/>
          <w:sz w:val="22"/>
        </w:rPr>
        <w:t>Implementar un módulo de gestión documental de presupuestos de proveedores con lectura automática mediante IA, comparación y detección de inconsistencias.</w:t>
      </w:r>
    </w:p>
    <w:p>
      <w:pPr>
        <w:pStyle w:val="ListNumber"/>
        <w:spacing w:after="60"/>
        <w:jc w:val="both"/>
      </w:pPr>
      <w:r>
        <w:rPr>
          <w:rFonts w:ascii="Calibri" w:hAnsi="Calibri"/>
          <w:b w:val="0"/>
          <w:i w:val="0"/>
          <w:color w:val="1A2329"/>
          <w:sz w:val="22"/>
        </w:rPr>
        <w:t>Implementar un repositorio de planos versionados, consultable por los responsables a través del asistente de WhatsApp.</w:t>
      </w:r>
    </w:p>
    <w:p>
      <w:pPr>
        <w:pStyle w:val="ListNumber"/>
        <w:spacing w:after="60"/>
        <w:jc w:val="both"/>
      </w:pPr>
      <w:r>
        <w:rPr>
          <w:rFonts w:ascii="Calibri" w:hAnsi="Calibri"/>
          <w:b w:val="0"/>
          <w:i w:val="0"/>
          <w:color w:val="1A2329"/>
          <w:sz w:val="22"/>
        </w:rPr>
        <w:t>Generar un sistema de alertas automáticas (tareas vencidas, bloqueadas, sin responsable) con notificación en tiempo real.</w:t>
      </w:r>
    </w:p>
    <w:p>
      <w:pPr>
        <w:pStyle w:val="ListNumber"/>
        <w:spacing w:after="60"/>
        <w:jc w:val="both"/>
      </w:pPr>
      <w:r>
        <w:rPr>
          <w:rFonts w:ascii="Calibri" w:hAnsi="Calibri"/>
          <w:b w:val="0"/>
          <w:i w:val="0"/>
          <w:color w:val="1A2329"/>
          <w:sz w:val="22"/>
        </w:rPr>
        <w:t>Implementar el aislamiento de datos por empresa (arquitectura multi-inquilino) y un esquema de planes y límites de uso.</w:t>
      </w:r>
    </w:p>
    <w:p>
      <w:pPr>
        <w:keepNext/>
        <w:spacing w:before="200" w:after="80"/>
      </w:pPr>
      <w:r>
        <w:rPr>
          <w:rFonts w:ascii="Calibri" w:hAnsi="Calibri"/>
          <w:b/>
          <w:color w:val="1A2329"/>
          <w:sz w:val="26"/>
        </w:rPr>
        <w:t>Tabla de trazabilidad (objetivos → evidencia)</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Objetivo específico</w:t>
            </w:r>
          </w:p>
        </w:tc>
        <w:tc>
          <w:tcPr>
            <w:tcW w:type="dxa" w:w="4680"/>
            <w:shd w:val="clear" w:fill="1A2329"/>
          </w:tcPr>
          <w:p>
            <w:r/>
            <w:r>
              <w:rPr>
                <w:rFonts w:ascii="Calibri" w:hAnsi="Calibri"/>
                <w:b w:val="0"/>
                <w:i w:val="0"/>
                <w:color w:val="FFFFFF"/>
                <w:sz w:val="20"/>
              </w:rPr>
              <w:t>Evidencia de cumplimiento</w:t>
            </w:r>
          </w:p>
        </w:tc>
      </w:tr>
      <w:tr>
        <w:tc>
          <w:tcPr>
            <w:tcW w:type="dxa" w:w="4680"/>
          </w:tcPr>
          <w:p>
            <w:r/>
            <w:r>
              <w:rPr>
                <w:rFonts w:ascii="Calibri" w:hAnsi="Calibri"/>
                <w:b w:val="0"/>
                <w:i w:val="0"/>
                <w:color w:val="1A2329"/>
                <w:sz w:val="20"/>
              </w:rPr>
              <w:t>1. Gestión integral de obras</w:t>
            </w:r>
          </w:p>
        </w:tc>
        <w:tc>
          <w:tcPr>
            <w:tcW w:type="dxa" w:w="4680"/>
          </w:tcPr>
          <w:p>
            <w:r/>
            <w:r>
              <w:rPr>
                <w:rFonts w:ascii="Calibri" w:hAnsi="Calibri"/>
                <w:b w:val="0"/>
                <w:i w:val="0"/>
                <w:color w:val="1A2329"/>
                <w:sz w:val="20"/>
              </w:rPr>
              <w:t>Módulos de obras, tareas, dependencias M2M, subtareas y calendario laboral implementados; migraciones de base de datos hasta la 0037.</w:t>
            </w:r>
          </w:p>
        </w:tc>
      </w:tr>
      <w:tr>
        <w:tc>
          <w:tcPr>
            <w:tcW w:type="dxa" w:w="4680"/>
            <w:shd w:val="clear" w:fill="F6F7F6"/>
          </w:tcPr>
          <w:p>
            <w:r/>
            <w:r>
              <w:rPr>
                <w:rFonts w:ascii="Calibri" w:hAnsi="Calibri"/>
                <w:b w:val="0"/>
                <w:i w:val="0"/>
                <w:color w:val="1A2329"/>
                <w:sz w:val="20"/>
              </w:rPr>
              <w:t>2. Gantt + CPM + baseline + cascada</w:t>
            </w:r>
          </w:p>
        </w:tc>
        <w:tc>
          <w:tcPr>
            <w:tcW w:type="dxa" w:w="4680"/>
            <w:shd w:val="clear" w:fill="F6F7F6"/>
          </w:tcPr>
          <w:p>
            <w:r/>
            <w:r>
              <w:rPr>
                <w:rFonts w:ascii="Calibri" w:hAnsi="Calibri"/>
                <w:b w:val="0"/>
                <w:i w:val="0"/>
                <w:color w:val="1A2329"/>
                <w:sz w:val="20"/>
              </w:rPr>
              <w:t>Componente de cronograma con flechas de dependencia, toggle de ruta crítica y línea base; endpoint de ruta crítica; reprogramación en cascada con vista previa.</w:t>
            </w:r>
          </w:p>
        </w:tc>
      </w:tr>
      <w:tr>
        <w:tc>
          <w:tcPr>
            <w:tcW w:type="dxa" w:w="4680"/>
          </w:tcPr>
          <w:p>
            <w:r/>
            <w:r>
              <w:rPr>
                <w:rFonts w:ascii="Calibri" w:hAnsi="Calibri"/>
                <w:b w:val="0"/>
                <w:i w:val="0"/>
                <w:color w:val="1A2329"/>
                <w:sz w:val="20"/>
              </w:rPr>
              <w:t>3. Planilla de baja fricción</w:t>
            </w:r>
          </w:p>
        </w:tc>
        <w:tc>
          <w:tcPr>
            <w:tcW w:type="dxa" w:w="4680"/>
          </w:tcPr>
          <w:p>
            <w:r/>
            <w:r>
              <w:rPr>
                <w:rFonts w:ascii="Calibri" w:hAnsi="Calibri"/>
                <w:b w:val="0"/>
                <w:i w:val="0"/>
                <w:color w:val="1A2329"/>
                <w:sz w:val="20"/>
              </w:rPr>
              <w:t>Vista de planilla con selección de rangos, relleno por arrastre con encadenado de fechas, copiar/pegar y deshacer; importación de Excel/CSV/MS Project.</w:t>
            </w:r>
          </w:p>
        </w:tc>
      </w:tr>
      <w:tr>
        <w:tc>
          <w:tcPr>
            <w:tcW w:type="dxa" w:w="4680"/>
            <w:shd w:val="clear" w:fill="F6F7F6"/>
          </w:tcPr>
          <w:p>
            <w:r/>
            <w:r>
              <w:rPr>
                <w:rFonts w:ascii="Calibri" w:hAnsi="Calibri"/>
                <w:b w:val="0"/>
                <w:i w:val="0"/>
                <w:color w:val="1A2329"/>
                <w:sz w:val="20"/>
              </w:rPr>
              <w:t>4. Asistente de WhatsApp</w:t>
            </w:r>
          </w:p>
        </w:tc>
        <w:tc>
          <w:tcPr>
            <w:tcW w:type="dxa" w:w="4680"/>
            <w:shd w:val="clear" w:fill="F6F7F6"/>
          </w:tcPr>
          <w:p>
            <w:r/>
            <w:r>
              <w:rPr>
                <w:rFonts w:ascii="Calibri" w:hAnsi="Calibri"/>
                <w:b w:val="0"/>
                <w:i w:val="0"/>
                <w:color w:val="1A2329"/>
                <w:sz w:val="20"/>
              </w:rPr>
              <w:t>Webhook de mensajería; identificación de responsables y de staff por número; máquina de conversación para reporte de estado.</w:t>
            </w:r>
          </w:p>
        </w:tc>
      </w:tr>
      <w:tr>
        <w:tc>
          <w:tcPr>
            <w:tcW w:type="dxa" w:w="4680"/>
          </w:tcPr>
          <w:p>
            <w:r/>
            <w:r>
              <w:rPr>
                <w:rFonts w:ascii="Calibri" w:hAnsi="Calibri"/>
                <w:b w:val="0"/>
                <w:i w:val="0"/>
                <w:color w:val="1A2329"/>
                <w:sz w:val="20"/>
              </w:rPr>
              <w:t>5. Bitácora de obra con IA</w:t>
            </w:r>
          </w:p>
        </w:tc>
        <w:tc>
          <w:tcPr>
            <w:tcW w:type="dxa" w:w="4680"/>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 análisis con modelo de lenguaje (Claude Haiku 4.5, salida estructurada) → resumen, puntos clave y sugerencias aplicables.</w:t>
            </w:r>
          </w:p>
        </w:tc>
      </w:tr>
      <w:tr>
        <w:tc>
          <w:tcPr>
            <w:tcW w:type="dxa" w:w="4680"/>
            <w:shd w:val="clear" w:fill="F6F7F6"/>
          </w:tcPr>
          <w:p>
            <w:r/>
            <w:r>
              <w:rPr>
                <w:rFonts w:ascii="Calibri" w:hAnsi="Calibri"/>
                <w:b w:val="0"/>
                <w:i w:val="0"/>
                <w:color w:val="1A2329"/>
                <w:sz w:val="20"/>
              </w:rPr>
              <w:t>6. Presupuestos con IA</w:t>
            </w:r>
          </w:p>
        </w:tc>
        <w:tc>
          <w:tcPr>
            <w:tcW w:type="dxa" w:w="4680"/>
            <w:shd w:val="clear" w:fill="F6F7F6"/>
          </w:tcPr>
          <w:p>
            <w:r/>
            <w:r>
              <w:rPr>
                <w:rFonts w:ascii="Calibri" w:hAnsi="Calibri"/>
                <w:b w:val="0"/>
                <w:i w:val="0"/>
                <w:color w:val="1A2329"/>
                <w:sz w:val="20"/>
              </w:rPr>
              <w:t>Carga de PDF/imagen/Excel/texto, extracción estructurada, comparación con recomendación e inconsistencias.</w:t>
            </w:r>
          </w:p>
        </w:tc>
      </w:tr>
      <w:tr>
        <w:tc>
          <w:tcPr>
            <w:tcW w:type="dxa" w:w="4680"/>
          </w:tcPr>
          <w:p>
            <w:r/>
            <w:r>
              <w:rPr>
                <w:rFonts w:ascii="Calibri" w:hAnsi="Calibri"/>
                <w:b w:val="0"/>
                <w:i w:val="0"/>
                <w:color w:val="1A2329"/>
                <w:sz w:val="20"/>
              </w:rPr>
              <w:t>7. Planos versionados</w:t>
            </w:r>
          </w:p>
        </w:tc>
        <w:tc>
          <w:tcPr>
            <w:tcW w:type="dxa" w:w="4680"/>
          </w:tcPr>
          <w:p>
            <w:r/>
            <w:r>
              <w:rPr>
                <w:rFonts w:ascii="Calibri" w:hAnsi="Calibri"/>
                <w:b w:val="0"/>
                <w:i w:val="0"/>
                <w:color w:val="1A2329"/>
                <w:sz w:val="20"/>
              </w:rPr>
              <w:t>Carga con versionado por obra/disciplina; consulta y envío por WhatsApp de la última versión vigente.</w:t>
            </w:r>
          </w:p>
        </w:tc>
      </w:tr>
      <w:tr>
        <w:tc>
          <w:tcPr>
            <w:tcW w:type="dxa" w:w="4680"/>
            <w:shd w:val="clear" w:fill="F6F7F6"/>
          </w:tcPr>
          <w:p>
            <w:r/>
            <w:r>
              <w:rPr>
                <w:rFonts w:ascii="Calibri" w:hAnsi="Calibri"/>
                <w:b w:val="0"/>
                <w:i w:val="0"/>
                <w:color w:val="1A2329"/>
                <w:sz w:val="20"/>
              </w:rPr>
              <w:t>8. Alertas automáticas</w:t>
            </w:r>
          </w:p>
        </w:tc>
        <w:tc>
          <w:tcPr>
            <w:tcW w:type="dxa" w:w="4680"/>
            <w:shd w:val="clear" w:fill="F6F7F6"/>
          </w:tcPr>
          <w:p>
            <w:r/>
            <w:r>
              <w:rPr>
                <w:rFonts w:ascii="Calibri" w:hAnsi="Calibri"/>
                <w:b w:val="0"/>
                <w:i w:val="0"/>
                <w:color w:val="1A2329"/>
                <w:sz w:val="20"/>
              </w:rPr>
              <w:t>Servicio de evaluación de riesgos por obra (vencidas, bloqueadas, sin responsable, alto porcentaje de vencimiento); seis tipos de alerta; emisión en tiempo real por Socket.IO y traza en el historial.</w:t>
            </w:r>
          </w:p>
        </w:tc>
      </w:tr>
      <w:tr>
        <w:tc>
          <w:tcPr>
            <w:tcW w:type="dxa" w:w="4680"/>
          </w:tcPr>
          <w:p>
            <w:r/>
            <w:r>
              <w:rPr>
                <w:rFonts w:ascii="Calibri" w:hAnsi="Calibri"/>
                <w:b w:val="0"/>
                <w:i w:val="0"/>
                <w:color w:val="1A2329"/>
                <w:sz w:val="20"/>
              </w:rPr>
              <w:t>9. Multi-inquilino y planes</w:t>
            </w:r>
          </w:p>
        </w:tc>
        <w:tc>
          <w:tcPr>
            <w:tcW w:type="dxa" w:w="4680"/>
          </w:tcPr>
          <w:p>
            <w:r/>
            <w:r>
              <w:rPr>
                <w:rFonts w:ascii="Calibri" w:hAnsi="Calibri"/>
                <w:b w:val="0"/>
                <w:i w:val="0"/>
                <w:color w:val="1A2329"/>
                <w:sz w:val="20"/>
              </w:rPr>
              <w:t xml:space="preserve">Aislamiento por </w:t>
            </w:r>
            <w:r>
              <w:rPr>
                <w:rFonts w:ascii="Calibri" w:hAnsi="Calibri"/>
                <w:b w:val="0"/>
                <w:i/>
                <w:color w:val="1A2329"/>
                <w:sz w:val="20"/>
              </w:rPr>
              <w:t>tenant</w:t>
            </w:r>
            <w:r>
              <w:rPr>
                <w:rFonts w:ascii="Calibri" w:hAnsi="Calibri"/>
                <w:b w:val="0"/>
                <w:i w:val="0"/>
                <w:color w:val="1A2329"/>
                <w:sz w:val="20"/>
              </w:rPr>
              <w:t xml:space="preserve"> en obras, responsables, alertas y usuarios; planes con límites y respuesta HTTP 402 al superarlos.</w:t>
            </w:r>
          </w:p>
        </w:tc>
      </w:tr>
    </w:tbl>
    <w:p>
      <w:pPr>
        <w:spacing w:after="80"/>
      </w:pP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 xml:space="preserve">La gestión de proyectos de construcción se apoya en disciplinas consolidadas de la dirección de proyectos, en particular la planificación temporal mediante redes de actividades.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con dependencias, la secuencia cuya demora afecta directamente la fecha de finalización del proyecto (Kelley &amp; Walker, 1959). El método calcula, para cada tarea, sus fechas más tempranas y más tardías de inicio y fin (mediante un recorrido hacia adelante y otro hacia atrás sobre la red), y de allí su </w:t>
      </w:r>
      <w:r>
        <w:rPr>
          <w:rFonts w:ascii="Calibri" w:hAnsi="Calibri"/>
          <w:b/>
          <w:i w:val="0"/>
          <w:color w:val="1A2329"/>
          <w:sz w:val="22"/>
        </w:rPr>
        <w:t>holgura</w:t>
      </w:r>
      <w:r>
        <w:rPr>
          <w:rFonts w:ascii="Calibri" w:hAnsi="Calibri"/>
          <w:b w:val="0"/>
          <w:i w:val="0"/>
          <w:color w:val="1A2329"/>
          <w:sz w:val="22"/>
        </w:rPr>
        <w:t xml:space="preserve">; las tareas con holgura nula conforman la ruta crítica. La representación habitual del cronograma es el </w:t>
      </w:r>
      <w:r>
        <w:rPr>
          <w:rFonts w:ascii="Calibri" w:hAnsi="Calibri"/>
          <w:b/>
          <w:i w:val="0"/>
          <w:color w:val="1A2329"/>
          <w:sz w:val="22"/>
        </w:rPr>
        <w:t>diagrama de Gantt</w:t>
      </w:r>
      <w:r>
        <w:rPr>
          <w:rFonts w:ascii="Calibri" w:hAnsi="Calibri"/>
          <w:b w:val="0"/>
          <w:i w:val="0"/>
          <w:color w:val="1A2329"/>
          <w:sz w:val="22"/>
        </w:rPr>
        <w:t>, atribuido a Henry L. Gantt a comienzos del siglo XX, que dispone las tareas sobre una línea de tiempo y permite visualizar duraciones, solapamientos y dependencias.</w:t>
      </w:r>
    </w:p>
    <w:p>
      <w:pPr>
        <w:spacing w:after="160" w:lineRule="auto" w:line="276"/>
        <w:jc w:val="both"/>
      </w:pPr>
      <w:r>
        <w:rPr>
          <w:rFonts w:ascii="Calibri" w:hAnsi="Calibri"/>
          <w:b w:val="0"/>
          <w:i w:val="0"/>
          <w:color w:val="1A2329"/>
          <w:sz w:val="22"/>
        </w:rPr>
        <w:t xml:space="preserve">La dirección de proyectos sistematiza, además, otros conceptos que la solución adopta: la </w:t>
      </w:r>
      <w:r>
        <w:rPr>
          <w:rFonts w:ascii="Calibri" w:hAnsi="Calibri"/>
          <w:b/>
          <w:i w:val="0"/>
          <w:color w:val="1A2329"/>
          <w:sz w:val="22"/>
        </w:rPr>
        <w:t>estructura de descomposición del trabajo (WBS)</w:t>
      </w:r>
      <w:r>
        <w:rPr>
          <w:rFonts w:ascii="Calibri" w:hAnsi="Calibri"/>
          <w:b w:val="0"/>
          <w:i w:val="0"/>
          <w:color w:val="1A2329"/>
          <w:sz w:val="22"/>
        </w:rPr>
        <w:t xml:space="preserve">, que organiza el alcance en tareas y subtareas jerárquicas; los </w:t>
      </w:r>
      <w:r>
        <w:rPr>
          <w:rFonts w:ascii="Calibri" w:hAnsi="Calibri"/>
          <w:b/>
          <w:i w:val="0"/>
          <w:color w:val="1A2329"/>
          <w:sz w:val="22"/>
        </w:rPr>
        <w:t>cuatro tipos de relación de precedencia</w:t>
      </w:r>
      <w:r>
        <w:rPr>
          <w:rFonts w:ascii="Calibri" w:hAnsi="Calibri"/>
          <w:b w:val="0"/>
          <w:i w:val="0"/>
          <w:color w:val="1A2329"/>
          <w:sz w:val="22"/>
        </w:rPr>
        <w:t xml:space="preserve"> entre actividades —Fin–Inicio (FS), Inicio–Inicio (SS), Fin–Fin (FF) e Inicio–Fin (SF)—, eventualmente con un desfase (</w:t>
      </w:r>
      <w:r>
        <w:rPr>
          <w:rFonts w:ascii="Calibri" w:hAnsi="Calibri"/>
          <w:b w:val="0"/>
          <w:i/>
          <w:color w:val="1A2329"/>
          <w:sz w:val="22"/>
        </w:rPr>
        <w:t>lag</w:t>
      </w:r>
      <w:r>
        <w:rPr>
          <w:rFonts w:ascii="Calibri" w:hAnsi="Calibri"/>
          <w:b w:val="0"/>
          <w:i w:val="0"/>
          <w:color w:val="1A2329"/>
          <w:sz w:val="22"/>
        </w:rPr>
        <w:t xml:space="preserve">); y la </w:t>
      </w:r>
      <w:r>
        <w:rPr>
          <w:rFonts w:ascii="Calibri" w:hAnsi="Calibri"/>
          <w:b/>
          <w:i w:val="0"/>
          <w:color w:val="1A2329"/>
          <w:sz w:val="22"/>
        </w:rPr>
        <w:t>línea base</w:t>
      </w:r>
      <w:r>
        <w:rPr>
          <w:rFonts w:ascii="Calibri" w:hAnsi="Calibri"/>
          <w:b w:val="0"/>
          <w:i w:val="0"/>
          <w:color w:val="1A2329"/>
          <w:sz w:val="22"/>
        </w:rPr>
        <w:t>, fotografía del cronograma aprobado que sirve de referencia para medir desvíos durante la ejecución (Project Management Institute, 2021).</w:t>
      </w:r>
    </w:p>
    <w:p>
      <w:pPr>
        <w:spacing w:after="160" w:lineRule="auto" w:line="276"/>
        <w:jc w:val="both"/>
      </w:pPr>
      <w:r>
        <w:rPr>
          <w:rFonts w:ascii="Calibri" w:hAnsi="Calibri"/>
          <w:b w:val="0"/>
          <w:i w:val="0"/>
          <w:color w:val="1A2329"/>
          <w:sz w:val="22"/>
        </w:rPr>
        <w:t>En la práctica del sector, sin embargo, la planificación formal coexiste con procedimientos informales de seguimiento. El relevamiento del avance suele realizarse por comunicación verbal o mensajería, y su traslado al plan depende de la carga manual por parte de quien planifica. Este procedimiento actual —que la solución propuesta busca reemplazar— es la principal fuente de pérdida de información y de desactualización del cronograma.</w:t>
      </w:r>
    </w:p>
    <w:p>
      <w:pPr>
        <w:keepNext/>
        <w:spacing w:before="200" w:after="80"/>
      </w:pPr>
      <w:r>
        <w:rPr>
          <w:rFonts w:ascii="Calibri" w:hAnsi="Calibri"/>
          <w:b/>
          <w:color w:val="1A2329"/>
          <w:sz w:val="26"/>
        </w:rPr>
        <w:t>2. Análisis de campo</w:t>
      </w:r>
    </w:p>
    <w:p>
      <w:pPr>
        <w:spacing w:after="160" w:lineRule="auto" w:line="276"/>
        <w:jc w:val="both"/>
      </w:pPr>
      <w:r>
        <w:rPr>
          <w:rFonts w:ascii="Calibri" w:hAnsi="Calibri"/>
          <w:b w:val="0"/>
          <w:i w:val="0"/>
          <w:color w:val="1A2329"/>
          <w:sz w:val="22"/>
        </w:rPr>
        <w:t xml:space="preserve">El proyecto se orientó a partir de la observación de la operación de dos perfiles de usuario: el profesional independiente que concurre a la obra y la empresa constructora con estructura jerárquica (jefe de obra, administrador de obra, profesionales). De esa observación se desprende un requisito transversal: </w:t>
      </w:r>
      <w:r>
        <w:rPr>
          <w:rFonts w:ascii="Calibri" w:hAnsi="Calibri"/>
          <w:b/>
          <w:i w:val="0"/>
          <w:color w:val="1A2329"/>
          <w:sz w:val="22"/>
        </w:rPr>
        <w:t>cualquier solución debe minimizar la cantidad de aplicaciones nuevas que el equipo de campo debe adoptar</w:t>
      </w:r>
      <w:r>
        <w:rPr>
          <w:rFonts w:ascii="Calibri" w:hAnsi="Calibri"/>
          <w:b w:val="0"/>
          <w:i w:val="0"/>
          <w:color w:val="1A2329"/>
          <w:sz w:val="22"/>
        </w:rPr>
        <w:t>, dado que la adopción es el principal punto de falla de las herramientas de gestión en obra.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lo requiere, incorporar aquí el detalle del análisis de campo (encuestas o entrevistas a profesionales del sector, cantidad de participantes y principales hallazgos). En caso de no haberse realizado un relevamiento formal, indicarlo y justificar la decisión a partir de la experiencia directa del equipo en el dominio.</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En el mercado existen diversas categorías de herramientas que abordan parcialmente la problemática:</w:t>
      </w:r>
    </w:p>
    <w:p>
      <w:pPr>
        <w:pStyle w:val="ListBullet"/>
        <w:spacing w:after="60"/>
        <w:jc w:val="both"/>
      </w:pPr>
      <w:r>
        <w:rPr>
          <w:rFonts w:ascii="Calibri" w:hAnsi="Calibri"/>
          <w:b/>
          <w:i w:val="0"/>
          <w:color w:val="1A2329"/>
          <w:sz w:val="22"/>
        </w:rPr>
        <w:t>Software de planificación tradicional</w:t>
      </w:r>
      <w:r>
        <w:rPr>
          <w:rFonts w:ascii="Calibri" w:hAnsi="Calibri"/>
          <w:b w:val="0"/>
          <w:i w:val="0"/>
          <w:color w:val="1A2329"/>
          <w:sz w:val="22"/>
        </w:rPr>
        <w:t xml:space="preserve"> (por ejemplo, planificadores de cronograma de escritorio): potentes en planificación y ruta crítica, pero orientados al escritorio y desconectados de la comunicación de campo; requieren capacitación y no son utilizados por el personal de obra.</w:t>
      </w:r>
    </w:p>
    <w:p>
      <w:pPr>
        <w:pStyle w:val="ListBullet"/>
        <w:spacing w:after="60"/>
        <w:jc w:val="both"/>
      </w:pPr>
      <w:r>
        <w:rPr>
          <w:rFonts w:ascii="Calibri" w:hAnsi="Calibri"/>
          <w:b/>
          <w:i w:val="0"/>
          <w:color w:val="1A2329"/>
          <w:sz w:val="22"/>
        </w:rPr>
        <w:t>Plataformas de gestión de la construcción</w:t>
      </w:r>
      <w:r>
        <w:rPr>
          <w:rFonts w:ascii="Calibri" w:hAnsi="Calibri"/>
          <w:b w:val="0"/>
          <w:i w:val="0"/>
          <w:color w:val="1A2329"/>
          <w:sz w:val="22"/>
        </w:rPr>
        <w:t xml:space="preserve"> (suites internacionales de </w:t>
      </w:r>
      <w:r>
        <w:rPr>
          <w:rFonts w:ascii="Calibri" w:hAnsi="Calibri"/>
          <w:b w:val="0"/>
          <w:i/>
          <w:color w:val="1A2329"/>
          <w:sz w:val="22"/>
        </w:rPr>
        <w:t>construction management</w:t>
      </w:r>
      <w:r>
        <w:rPr>
          <w:rFonts w:ascii="Calibri" w:hAnsi="Calibri"/>
          <w:b w:val="0"/>
          <w:i w:val="0"/>
          <w:color w:val="1A2329"/>
          <w:sz w:val="22"/>
        </w:rPr>
        <w:t>): cubren múltiples procesos, pero implican un costo y una complejidad de implementación elevados, y exigen que todos los participantes adopten la plataforma.</w:t>
      </w:r>
    </w:p>
    <w:p>
      <w:pPr>
        <w:pStyle w:val="ListBullet"/>
        <w:spacing w:after="60"/>
        <w:jc w:val="both"/>
      </w:pPr>
      <w:r>
        <w:rPr>
          <w:rFonts w:ascii="Calibri" w:hAnsi="Calibri"/>
          <w:b/>
          <w:i w:val="0"/>
          <w:color w:val="1A2329"/>
          <w:sz w:val="22"/>
        </w:rPr>
        <w:t>Herramientas genéricas de gestión de tareas</w:t>
      </w:r>
      <w:r>
        <w:rPr>
          <w:rFonts w:ascii="Calibri" w:hAnsi="Calibri"/>
          <w:b w:val="0"/>
          <w:i w:val="0"/>
          <w:color w:val="1A2329"/>
          <w:sz w:val="22"/>
        </w:rPr>
        <w:t xml:space="preserve"> (tableros tipo </w:t>
      </w:r>
      <w:r>
        <w:rPr>
          <w:rFonts w:ascii="Calibri" w:hAnsi="Calibri"/>
          <w:b w:val="0"/>
          <w:i/>
          <w:color w:val="1A2329"/>
          <w:sz w:val="22"/>
        </w:rPr>
        <w:t>kanban</w:t>
      </w:r>
      <w:r>
        <w:rPr>
          <w:rFonts w:ascii="Calibri" w:hAnsi="Calibri"/>
          <w:b w:val="0"/>
          <w:i w:val="0"/>
          <w:color w:val="1A2329"/>
          <w:sz w:val="22"/>
        </w:rPr>
        <w:t xml:space="preserve"> y similares): flexibles y de bajo costo, pero carecen de las capacidades propias de la planificación de obra (ruta crítica, línea base, cómputo) y tampoco resuelven el reporte desde el campo.</w:t>
      </w:r>
    </w:p>
    <w:p>
      <w:pPr>
        <w:pStyle w:val="ListBullet"/>
        <w:spacing w:after="60"/>
        <w:jc w:val="both"/>
      </w:pPr>
      <w:r>
        <w:rPr>
          <w:rFonts w:ascii="Calibri" w:hAnsi="Calibri"/>
          <w:b/>
          <w:i w:val="0"/>
          <w:color w:val="1A2329"/>
          <w:sz w:val="22"/>
        </w:rPr>
        <w:t>Comunicación informal por mensajería:</w:t>
      </w:r>
      <w:r>
        <w:rPr>
          <w:rFonts w:ascii="Calibri" w:hAnsi="Calibri"/>
          <w:b w:val="0"/>
          <w:i w:val="0"/>
          <w:color w:val="1A2329"/>
          <w:sz w:val="22"/>
        </w:rPr>
        <w:t xml:space="preserve"> es el "competidor" real más extendido; su ventaja es la adopción nula-friccional, y su desventaja es la total ausencia de estructura, trazabilidad y conexión con el plan.</w:t>
      </w:r>
    </w:p>
    <w:p>
      <w:pPr>
        <w:spacing w:after="160" w:lineRule="auto" w:line="276"/>
        <w:jc w:val="both"/>
      </w:pPr>
      <w:r>
        <w:rPr>
          <w:rFonts w:ascii="Calibri" w:hAnsi="Calibri"/>
          <w:b w:val="0"/>
          <w:i w:val="0"/>
          <w:color w:val="1A2329"/>
          <w:sz w:val="22"/>
        </w:rPr>
        <w:t xml:space="preserve">La carencia común a estas alternativas es la </w:t>
      </w:r>
      <w:r>
        <w:rPr>
          <w:rFonts w:ascii="Calibri" w:hAnsi="Calibri"/>
          <w:b/>
          <w:i w:val="0"/>
          <w:color w:val="1A2329"/>
          <w:sz w:val="22"/>
        </w:rPr>
        <w:t>falta de un puente de baja fricción entre el plan y el campo</w:t>
      </w:r>
      <w:r>
        <w:rPr>
          <w:rFonts w:ascii="Calibri" w:hAnsi="Calibri"/>
          <w:b w:val="0"/>
          <w:i w:val="0"/>
          <w:color w:val="1A2329"/>
          <w:sz w:val="22"/>
        </w:rPr>
        <w:t>: o bien priorizan la planificación y descuidan la captura de campo, o bien priorizan la comunicación y carecen de estructura. CONSTRUCTA se posiciona en ese espacio, tomando como canal de campo el mismo que el equipo ya utiliza.</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por su soporte nativo de asincronismo y su validación de datos por tipos, frente a alternativas síncronas. La persistencia se resolvió con SQLAlchemy 2.0 en modo asíncrono sobre PostgreSQL,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con TypeScript y Vite, por su madurez, su tipado estático y la velocidad de su entorno de desarrollo.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a través de Twilio,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spacing w:before="80" w:after="160"/>
        <w:ind w:left="360"/>
        <w:jc w:val="both"/>
        <w:pBdr>
          <w:left w:val="single" w:sz="18" w:space="8" w:color="C9D0D5"/>
        </w:pBdr>
      </w:pPr>
      <w:r>
        <w:rPr>
          <w:rFonts w:ascii="Calibri" w:hAnsi="Calibri"/>
          <w:b w:val="0"/>
          <w:i/>
          <w:color w:val="3E4A52"/>
          <w:sz w:val="21"/>
        </w:rPr>
        <w:t>Toda otra información de sustento se incorpora en la sección siguiente (Propuesta de solución).</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Requerimientos funcionales (qué entra)</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estados (planificada, en progreso, pausada, completada, cancelada) y datos del comitente.</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 (qué queda fuera)</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Seguridad:</w:t>
      </w:r>
      <w:r>
        <w:rPr>
          <w:rFonts w:ascii="Calibri" w:hAnsi="Calibri"/>
          <w:b w:val="0"/>
          <w:i w:val="0"/>
          <w:color w:val="1A2329"/>
          <w:sz w:val="22"/>
        </w:rPr>
        <w:t xml:space="preserve"> autenticación por tokens JWT, contraseñas almacenadas con </w:t>
      </w:r>
      <w:r>
        <w:rPr>
          <w:rFonts w:ascii="Calibri" w:hAnsi="Calibri"/>
          <w:b w:val="0"/>
          <w:i/>
          <w:color w:val="1A2329"/>
          <w:sz w:val="22"/>
        </w:rPr>
        <w:t>hashing</w:t>
      </w:r>
      <w:r>
        <w:rPr>
          <w:rFonts w:ascii="Calibri" w:hAnsi="Calibri"/>
          <w:b w:val="0"/>
          <w:i w:val="0"/>
          <w:color w:val="1A2329"/>
          <w:sz w:val="22"/>
        </w:rPr>
        <w:t>, control de acceso por rol (administrador / colaborador) y aislamiento estricto de los datos entre empresas (multi-inquilino). La eliminación es lógica (</w:t>
      </w:r>
      <w:r>
        <w:rPr>
          <w:rFonts w:ascii="Calibri" w:hAnsi="Calibri"/>
          <w:b w:val="0"/>
          <w:i/>
          <w:color w:val="1A2329"/>
          <w:sz w:val="22"/>
        </w:rPr>
        <w:t>soft delete</w:t>
      </w:r>
      <w:r>
        <w:rPr>
          <w:rFonts w:ascii="Calibri" w:hAnsi="Calibri"/>
          <w:b w:val="0"/>
          <w:i w:val="0"/>
          <w:color w:val="1A2329"/>
          <w:sz w:val="22"/>
        </w:rPr>
        <w:t>), preservando la información.</w:t>
      </w:r>
    </w:p>
    <w:p>
      <w:pPr>
        <w:pStyle w:val="ListBullet"/>
        <w:spacing w:after="60"/>
        <w:jc w:val="both"/>
      </w:pPr>
      <w:r>
        <w:rPr>
          <w:rFonts w:ascii="Calibri" w:hAnsi="Calibri"/>
          <w:b/>
          <w:i w:val="0"/>
          <w:color w:val="1A2329"/>
          <w:sz w:val="22"/>
        </w:rPr>
        <w:t>Usabilidad y baja fricción de adopción:</w:t>
      </w:r>
      <w:r>
        <w:rPr>
          <w:rFonts w:ascii="Calibri" w:hAnsi="Calibri"/>
          <w:b w:val="0"/>
          <w:i w:val="0"/>
          <w:color w:val="1A2329"/>
          <w:sz w:val="22"/>
        </w:rPr>
        <w:t xml:space="preserve"> el personal de campo opera por WhatsApp sin instalar ninguna aplicación; la carga de datos en el escritorio reproduce los gestos de una hoja de cálculo. Es el requerimiento no funcional rector del proyecto.</w:t>
      </w:r>
    </w:p>
    <w:p>
      <w:pPr>
        <w:pStyle w:val="ListBullet"/>
        <w:spacing w:after="60"/>
        <w:jc w:val="both"/>
      </w:pPr>
      <w:r>
        <w:rPr>
          <w:rFonts w:ascii="Calibri" w:hAnsi="Calibri"/>
          <w:b/>
          <w:i w:val="0"/>
          <w:color w:val="1A2329"/>
          <w:sz w:val="22"/>
        </w:rPr>
        <w:t>Rendimiento:</w:t>
      </w:r>
      <w:r>
        <w:rPr>
          <w:rFonts w:ascii="Calibri" w:hAnsi="Calibri"/>
          <w:b w:val="0"/>
          <w:i w:val="0"/>
          <w:color w:val="1A2329"/>
          <w:sz w:val="22"/>
        </w:rPr>
        <w:t xml:space="preserve"> el backend emplea entrada/salida asíncrona de extremo a extremo (FastAPI + SQLAlchemy </w:t>
      </w:r>
      <w:r>
        <w:rPr>
          <w:rFonts w:ascii="Calibri" w:hAnsi="Calibri"/>
          <w:b w:val="0"/>
          <w:i/>
          <w:color w:val="1A2329"/>
          <w:sz w:val="22"/>
        </w:rPr>
        <w:t>async</w:t>
      </w:r>
      <w:r>
        <w:rPr>
          <w:rFonts w:ascii="Calibri" w:hAnsi="Calibri"/>
          <w:b w:val="0"/>
          <w:i w:val="0"/>
          <w:color w:val="1A2329"/>
          <w:sz w:val="22"/>
        </w:rPr>
        <w:t xml:space="preserve">); los datos de una obra se cargan una sola vez al abrirla, y las actualizaciones de estado se propagan por </w:t>
      </w:r>
      <w:r>
        <w:rPr>
          <w:rFonts w:ascii="Calibri" w:hAnsi="Calibri"/>
          <w:b w:val="0"/>
          <w:i/>
          <w:color w:val="1A2329"/>
          <w:sz w:val="22"/>
        </w:rPr>
        <w:t>websockets</w:t>
      </w:r>
      <w:r>
        <w:rPr>
          <w:rFonts w:ascii="Calibri" w:hAnsi="Calibri"/>
          <w:b w:val="0"/>
          <w:i w:val="0"/>
          <w:color w:val="1A2329"/>
          <w:sz w:val="22"/>
        </w:rPr>
        <w:t xml:space="preserve"> en lugar de sondeo.</w:t>
      </w:r>
    </w:p>
    <w:p>
      <w:pPr>
        <w:pStyle w:val="ListBullet"/>
        <w:spacing w:after="60"/>
        <w:jc w:val="both"/>
      </w:pPr>
      <w:r>
        <w:rPr>
          <w:rFonts w:ascii="Calibri" w:hAnsi="Calibri"/>
          <w:b/>
          <w:i w:val="0"/>
          <w:color w:val="1A2329"/>
          <w:sz w:val="22"/>
        </w:rPr>
        <w:t>Trazabilidad:</w:t>
      </w:r>
      <w:r>
        <w:rPr>
          <w:rFonts w:ascii="Calibri" w:hAnsi="Calibri"/>
          <w:b w:val="0"/>
          <w:i w:val="0"/>
          <w:color w:val="1A2329"/>
          <w:sz w:val="22"/>
        </w:rPr>
        <w:t xml:space="preserve"> todo evento relevante de obra queda registrado en un historial inmutable (</w:t>
      </w:r>
      <w:r>
        <w:rPr>
          <w:rFonts w:ascii="Calibri" w:hAnsi="Calibri"/>
          <w:b w:val="0"/>
          <w:i/>
          <w:color w:val="1A2329"/>
          <w:sz w:val="22"/>
        </w:rPr>
        <w:t>append-only</w:t>
      </w:r>
      <w:r>
        <w:rPr>
          <w:rFonts w:ascii="Calibri" w:hAnsi="Calibri"/>
          <w:b w:val="0"/>
          <w:i w:val="0"/>
          <w:color w:val="1A2329"/>
          <w:sz w:val="22"/>
        </w:rPr>
        <w:t>), lo que garantiza un registro auditable y no repudiable.</w:t>
      </w:r>
    </w:p>
    <w:p>
      <w:pPr>
        <w:pStyle w:val="ListBullet"/>
        <w:spacing w:after="60"/>
        <w:jc w:val="both"/>
      </w:pPr>
      <w:r>
        <w:rPr>
          <w:rFonts w:ascii="Calibri" w:hAnsi="Calibri"/>
          <w:b/>
          <w:i w:val="0"/>
          <w:color w:val="1A2329"/>
          <w:sz w:val="22"/>
        </w:rPr>
        <w:t>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Disponibilidad y escalabilidad:</w:t>
      </w:r>
      <w:r>
        <w:rPr>
          <w:rFonts w:ascii="Calibri" w:hAnsi="Calibri"/>
          <w:b w:val="0"/>
          <w:i w:val="0"/>
          <w:color w:val="1A2329"/>
          <w:sz w:val="22"/>
        </w:rPr>
        <w:t xml:space="preserve"> backend sin estado de sesión en memoria (el estado conversacional se persiste en la base), apto para despliegue en la nube y escalado horizontal.</w:t>
      </w:r>
    </w:p>
    <w:p>
      <w:pPr>
        <w:pStyle w:val="ListBullet"/>
        <w:spacing w:after="60"/>
        <w:jc w:val="both"/>
      </w:pPr>
      <w:r>
        <w:rPr>
          <w:rFonts w:ascii="Calibri" w:hAnsi="Calibri"/>
          <w:b/>
          <w:i w:val="0"/>
          <w:color w:val="1A2329"/>
          <w:sz w:val="22"/>
        </w:rPr>
        <w:t>Costo de operación acotado:</w:t>
      </w:r>
      <w:r>
        <w:rPr>
          <w:rFonts w:ascii="Calibri" w:hAnsi="Calibri"/>
          <w:b w:val="0"/>
          <w:i w:val="0"/>
          <w:color w:val="1A2329"/>
          <w:sz w:val="22"/>
        </w:rPr>
        <w:t xml:space="preserve"> el costo variable de IA por uso es marginal (del orden de un centavo de dólar por nota de voz; véase Impacto económico).</w:t>
      </w:r>
    </w:p>
    <w:p>
      <w:pPr>
        <w:spacing w:before="80" w:after="160"/>
        <w:ind w:left="360"/>
        <w:jc w:val="both"/>
        <w:pBdr>
          <w:left w:val="single" w:sz="18" w:space="8" w:color="C9D0D5"/>
        </w:pBdr>
      </w:pPr>
      <w:r>
        <w:rPr>
          <w:rFonts w:ascii="Calibri" w:hAnsi="Calibri"/>
          <w:b w:val="0"/>
          <w:i/>
          <w:color w:val="3E4A52"/>
          <w:sz w:val="21"/>
        </w:rPr>
        <w:t>(Ejemplo de requerimiento, según la guía)</w:t>
      </w:r>
      <w:r>
        <w:rPr>
          <w:rFonts w:ascii="Calibri" w:hAnsi="Calibri"/>
          <w:b w:val="0"/>
          <w:i/>
          <w:color w:val="3E4A52"/>
          <w:sz w:val="21"/>
        </w:rPr>
        <w:t xml:space="preserve"> «El sistema debe permitir que un responsable registre una nota de voz de obra desde WhatsApp y que esta quede asociada a la obra correspondiente con un resumen generado automáticamente.»</w:t>
      </w:r>
    </w:p>
    <w:p>
      <w:pPr>
        <w:jc w:val="center"/>
      </w:pPr>
      <w:r>
        <w:drawing>
          <wp:inline xmlns:a="http://schemas.openxmlformats.org/drawingml/2006/main" xmlns:pic="http://schemas.openxmlformats.org/drawingml/2006/picture">
            <wp:extent cx="4937760" cy="4937760"/>
            <wp:docPr id="1" name="Picture 1" descr="Diagrama de casos de uso de CONSTRUCTA — actores (Administrador, Responsable, Asistente de WhatsApp) y casos de uso principales."/>
            <wp:cNvGraphicFramePr>
              <a:graphicFrameLocks noChangeAspect="1"/>
            </wp:cNvGraphicFramePr>
            <a:graphic>
              <a:graphicData uri="http://schemas.openxmlformats.org/drawingml/2006/picture">
                <pic:pic>
                  <pic:nvPicPr>
                    <pic:cNvPr id="0" name="casos-de-uso.png"/>
                    <pic:cNvPicPr/>
                  </pic:nvPicPr>
                  <pic:blipFill>
                    <a:blip r:embed="rId9"/>
                    <a:stretch>
                      <a:fillRect/>
                    </a:stretch>
                  </pic:blipFill>
                  <pic:spPr>
                    <a:xfrm>
                      <a:off x="0" y="0"/>
                      <a:ext cx="4937760" cy="4937760"/>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2. Captura del portafolio de obras (panel principal).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3. Captura del diagrama de Gantt con dependencias y ruta crítica.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4. Captura de la planilla de tareas con selección de rango y relleno por arrastre. Fuente: elaboración propia.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5. Captura del módulo de presupuestos (comparación con recomendación de 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0037).</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w:t>
      </w:r>
      <w:r>
        <w:rPr>
          <w:rFonts w:ascii="Calibri" w:hAnsi="Calibri"/>
          <w:b/>
          <w:i w:val="0"/>
          <w:color w:val="1A2329"/>
          <w:sz w:val="22"/>
        </w:rPr>
        <w:t>máquina de estados</w:t>
      </w:r>
      <w:r>
        <w:rPr>
          <w:rFonts w:ascii="Calibri" w:hAnsi="Calibri"/>
          <w:b w:val="0"/>
          <w:i w:val="0"/>
          <w:color w:val="1A2329"/>
          <w:sz w:val="22"/>
        </w:rPr>
        <w:t xml:space="preserve">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2" name="Picture 2" descr="Diagrama de arquitectura de tres capas con las integraciones externas."/>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 xml:space="preserve">El modelo de datos, versionado en treinta y siete migraciones (0001 a 0037),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jc w:val="center"/>
      </w:pPr>
      <w:r>
        <w:drawing>
          <wp:inline xmlns:a="http://schemas.openxmlformats.org/drawingml/2006/main" xmlns:pic="http://schemas.openxmlformats.org/drawingml/2006/picture">
            <wp:extent cx="5486400" cy="5486400"/>
            <wp:docPr id="3" name="Picture 3" descr="Diagrama entidad-relación (DER) del modelo de datos. Referencia: `docs/database.md`."/>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86400" cy="5486400"/>
                    </a:xfrm>
                    <a:prstGeom prst="rect"/>
                  </pic:spPr>
                </pic:pic>
              </a:graphicData>
            </a:graphic>
          </wp:inline>
        </w:drawing>
      </w:r>
    </w:p>
    <w:p>
      <w:pPr>
        <w:spacing w:after="240"/>
        <w:jc w:val="center"/>
      </w:pPr>
      <w:r>
        <w:rPr>
          <w:rFonts w:ascii="Calibri" w:hAnsi="Calibri"/>
          <w:i/>
          <w:color w:val="5B6770"/>
          <w:sz w:val="19"/>
        </w:rPr>
        <w:t>Figura 7. Diagrama entidad-relación (DER) del modelo de datos. Referencia: `docs/database.md`.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w:t>
      </w:r>
      <w:r>
        <w:rPr>
          <w:rFonts w:ascii="Calibri" w:hAnsi="Calibri"/>
          <w:b/>
          <w:i w:val="0"/>
          <w:color w:val="1A2329"/>
          <w:sz w:val="22"/>
        </w:rPr>
        <w:t>migración</w:t>
      </w:r>
      <w:r>
        <w:rPr>
          <w:rFonts w:ascii="Calibri" w:hAnsi="Calibri"/>
          <w:b w:val="0"/>
          <w:i w:val="0"/>
          <w:color w:val="1A2329"/>
          <w:sz w:val="22"/>
        </w:rPr>
        <w:t xml:space="preserve"> versionada (treinta y siete en total, 0001 a 0037),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El backend expone alrededor de veintiséis grupos de </w:t>
      </w:r>
      <w:r>
        <w:rPr>
          <w:rFonts w:ascii="Calibri" w:hAnsi="Calibri"/>
          <w:b w:val="0"/>
          <w:i/>
          <w:color w:val="1A2329"/>
          <w:sz w:val="22"/>
        </w:rPr>
        <w:t>endpoints</w:t>
      </w:r>
      <w:r>
        <w:rPr>
          <w:rFonts w:ascii="Calibri" w:hAnsi="Calibri"/>
          <w:b w:val="0"/>
          <w:i w:val="0"/>
          <w:color w:val="1A2329"/>
          <w:sz w:val="22"/>
        </w:rPr>
        <w:t xml:space="preserve"> (autenticación, obras, tareas, dependencias, ruta crítica, línea base, calendario, alertas, notificaciones, presencia, responsables, equipo de obra, bitácora, presupuestos, planos, proveedores, materiales, órdenes de compra, importación, exportación, </w:t>
      </w:r>
      <w:r>
        <w:rPr>
          <w:rFonts w:ascii="Calibri" w:hAnsi="Calibri"/>
          <w:b w:val="0"/>
          <w:i/>
          <w:color w:val="1A2329"/>
          <w:sz w:val="22"/>
        </w:rPr>
        <w:t>webhooks</w:t>
      </w:r>
      <w:r>
        <w:rPr>
          <w:rFonts w:ascii="Calibri" w:hAnsi="Calibri"/>
          <w:b w:val="0"/>
          <w:i w:val="0"/>
          <w:color w:val="1A2329"/>
          <w:sz w:val="22"/>
        </w:rPr>
        <w:t>, administración, entre otros), apoyados en torno a veintiún entidades de datos y diecisiete servicios de negocio. El frontend se organiza en una docena de pantallas y unos treinta y cinco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garantizando el aislamiento de datos.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flechas de dependencia,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con selección de celdas y rangos, relleno por arrastre con encadenado automático de fechas, copiar/pegar de bloques y deshacer.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presupuesto por obra (estimado frente a real) y generación de </w:t>
      </w:r>
      <w:r>
        <w:rPr>
          <w:rFonts w:ascii="Calibri" w:hAnsi="Calibri"/>
          <w:b/>
          <w:i w:val="0"/>
          <w:color w:val="1A2329"/>
          <w:sz w:val="22"/>
        </w:rPr>
        <w:t>órdenes de compra</w:t>
      </w:r>
      <w:r>
        <w:rPr>
          <w:rFonts w:ascii="Calibri" w:hAnsi="Calibri"/>
          <w:b w:val="0"/>
          <w:i w:val="0"/>
          <w:color w:val="1A2329"/>
          <w:sz w:val="22"/>
        </w:rPr>
        <w:t xml:space="preserve"> a proveedores, con su envío y el seguimiento de la recepción.</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bl>
    <w:p>
      <w:pPr>
        <w:spacing w:after="80"/>
      </w:pP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Si la cátedra exige pruebas unitarias automatizadas con cobertura, dejar constancia del estado actual y, en su caso, del plan para incorporarlas (por ejemplo, </w:t>
      </w:r>
      <w:r>
        <w:rPr>
          <w:rFonts w:ascii="Calibri" w:hAnsi="Calibri"/>
          <w:b w:val="0"/>
          <w:i/>
          <w:color w:val="3E4A52"/>
          <w:sz w:val="21"/>
        </w:rPr>
        <w:t>pytest</w:t>
      </w:r>
      <w:r>
        <w:rPr>
          <w:rFonts w:ascii="Calibri" w:hAnsi="Calibri"/>
          <w:b w:val="0"/>
          <w:i w:val="0"/>
          <w:color w:val="3E4A52"/>
          <w:sz w:val="21"/>
        </w:rPr>
        <w:t xml:space="preserve"> en el backend y </w:t>
      </w:r>
      <w:r>
        <w:rPr>
          <w:rFonts w:ascii="Calibri" w:hAnsi="Calibri"/>
          <w:b w:val="0"/>
          <w:i/>
          <w:color w:val="3E4A52"/>
          <w:sz w:val="21"/>
        </w:rPr>
        <w:t>Vitest</w:t>
      </w:r>
      <w:r>
        <w:rPr>
          <w:rFonts w:ascii="Calibri" w:hAnsi="Calibri"/>
          <w:b w:val="0"/>
          <w:i w:val="0"/>
          <w:color w:val="3E4A52"/>
          <w:sz w:val="21"/>
        </w:rPr>
        <w:t>/</w:t>
      </w:r>
      <w:r>
        <w:rPr>
          <w:rFonts w:ascii="Calibri" w:hAnsi="Calibri"/>
          <w:b w:val="0"/>
          <w:i/>
          <w:color w:val="3E4A52"/>
          <w:sz w:val="21"/>
        </w:rPr>
        <w:t>Playwright</w:t>
      </w:r>
      <w:r>
        <w:rPr>
          <w:rFonts w:ascii="Calibri" w:hAnsi="Calibri"/>
          <w:b w:val="0"/>
          <w:i w:val="0"/>
          <w:color w:val="3E4A52"/>
          <w:sz w:val="21"/>
        </w:rPr>
        <w:t xml:space="preserve"> en el frontend).</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append-only.</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Cuantificar los beneficios con métricas objetivo cuando se disponga de datos de uso real (por ejemplo, porcentaje de reducción del tiempo de carga de avances, o cantidad de notas de obra registradas por semana).</w:t>
      </w:r>
    </w:p>
    <w:p>
      <w:pPr>
        <w:keepNext/>
        <w:spacing w:before="320" w:after="120"/>
        <w:pBdr>
          <w:bottom w:val="single" w:sz="6" w:space="4" w:color="FF6B35"/>
        </w:pBdr>
      </w:pPr>
      <w:r>
        <w:rPr>
          <w:rFonts w:ascii="Calibri" w:hAnsi="Calibri"/>
          <w:b/>
          <w:color w:val="1A2329"/>
          <w:sz w:val="32"/>
        </w:rPr>
        <w:t>Impacto económico (estudio de costos)</w:t>
      </w:r>
    </w:p>
    <w:p>
      <w:pPr>
        <w:spacing w:before="80" w:after="160"/>
        <w:ind w:left="360"/>
        <w:jc w:val="both"/>
        <w:pBdr>
          <w:left w:val="single" w:sz="18" w:space="8" w:color="C9D0D5"/>
        </w:pBdr>
      </w:pPr>
      <w:r>
        <w:rPr>
          <w:rFonts w:ascii="Calibri" w:hAnsi="Calibri"/>
          <w:b/>
          <w:i/>
          <w:color w:val="3E4A52"/>
          <w:sz w:val="21"/>
        </w:rPr>
        <w:t>[COMPLETAR con cifras reales del equipo.]</w:t>
      </w:r>
      <w:r>
        <w:rPr>
          <w:rFonts w:ascii="Calibri" w:hAnsi="Calibri"/>
          <w:b w:val="0"/>
          <w:i/>
          <w:color w:val="3E4A52"/>
          <w:sz w:val="21"/>
        </w:rPr>
        <w:t xml:space="preserve"> A continuación se presenta la estructura del estudio de costos con valores de referencia que deben ajustarse a la realidad del proyecto y del mercado al momento de la entrega.</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Se estiman a partir de las horas-persona invertidas por el equipo durante el desarrollo del proyecto integrador, valorizadas a «valor hora» de referencia del mercado de desarrollo de software en Argentina.</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«USD/mes»</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«USD/mes (puede ser nulo)»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«según volumen»</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por operación»</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«según volumen»</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spacing w:before="80" w:after="160"/>
        <w:ind w:left="360"/>
        <w:jc w:val="both"/>
        <w:pBdr>
          <w:left w:val="single" w:sz="18" w:space="8" w:color="C9D0D5"/>
        </w:pBdr>
      </w:pPr>
      <w:r>
        <w:rPr>
          <w:rFonts w:ascii="Calibri" w:hAnsi="Calibri"/>
          <w:b w:val="0"/>
          <w:i/>
          <w:color w:val="3E4A52"/>
          <w:sz w:val="21"/>
        </w:rPr>
        <w:t>El presente apartado debe completarse con un estudio serio y específico (horas de desarrollo reales, valores de mercado vigentes y proyección de retorno de inversión), conforme a la exigencia de la cátedra.</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Profundizar con datos del contexto local si la cátedra lo solicita.</w:t>
      </w:r>
    </w:p>
    <w:p>
      <w:pPr>
        <w:keepNext/>
        <w:spacing w:before="320" w:after="120"/>
        <w:pBdr>
          <w:bottom w:val="single" w:sz="6" w:space="4" w:color="FF6B35"/>
        </w:pBdr>
      </w:pPr>
      <w:r>
        <w:rPr>
          <w:rFonts w:ascii="Calibri" w:hAnsi="Calibri"/>
          <w:b/>
          <w:color w:val="1A2329"/>
          <w:sz w:val="32"/>
        </w:rPr>
        <w:t>Impacto medioambiental (opcional)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permitió construir una plataforma funcional que aborda la desconexión entre la planificación y la ejecución en obra. Se cumplieron los objetivos específicos planteados: la gestión integral de obras y tareas, la visualización del cronograma con ruta crítica y línea base, la carga de baja fricción, el asistente de WhatsApp con identificación de emisores, la bitácora de obra asistida por IA, la gestión de presupuestos con lectura y comparación automática, el repositorio de planos consultable por WhatsApp, el sistema de alertas y el aislamiento multi-inquilino con planes.</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Como objetivos no cumplidos o pendientes se identifican: la notificación automática al jefe o administrador de obra cuando un responsable responde a un recordatorio (funcionalidad analizada y diseñada, no implementada), la pasarela de pago para el cobro efectivo de los planes, y la incorporación de pruebas unitarias automatizadas con métrica de cobertura.</w:t>
      </w:r>
    </w:p>
    <w:p>
      <w:pPr>
        <w:spacing w:before="80" w:after="160"/>
        <w:ind w:left="360"/>
        <w:jc w:val="both"/>
        <w:pBdr>
          <w:left w:val="single" w:sz="18" w:space="8" w:color="FF6B35"/>
        </w:pBdr>
        <w:shd w:val="clear" w:fill="FFF1E9"/>
      </w:pPr>
      <w:r>
        <w:rPr>
          <w:rFonts w:ascii="Calibri" w:hAnsi="Calibri"/>
          <w:b/>
          <w:i w:val="0"/>
          <w:color w:val="3E4A52"/>
          <w:sz w:val="21"/>
        </w:rPr>
        <w:t>[COMPLETAR]</w:t>
      </w:r>
      <w:r>
        <w:rPr>
          <w:rFonts w:ascii="Calibri" w:hAnsi="Calibri"/>
          <w:b w:val="0"/>
          <w:i w:val="0"/>
          <w:color w:val="3E4A52"/>
          <w:sz w:val="21"/>
        </w:rPr>
        <w:t xml:space="preserve"> Agregar reflexiones personales del equipo sobre el proceso, si corresponde.</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FF6B35"/>
        </w:pBdr>
        <w:shd w:val="clear" w:fill="FFF1E9"/>
      </w:pPr>
      <w:r>
        <w:rPr>
          <w:rFonts w:ascii="Calibri" w:hAnsi="Calibri"/>
          <w:b w:val="0"/>
          <w:i w:val="0"/>
          <w:color w:val="3E4A52"/>
          <w:sz w:val="21"/>
        </w:rPr>
        <w:t xml:space="preserve">Listado en formato APA v7. Se priorizan fuentes verificables (documentación oficial y bibliografía técnica). </w:t>
      </w:r>
      <w:r>
        <w:rPr>
          <w:rFonts w:ascii="Calibri" w:hAnsi="Calibri"/>
          <w:b/>
          <w:i w:val="0"/>
          <w:color w:val="3E4A52"/>
          <w:sz w:val="21"/>
        </w:rPr>
        <w:t>[COMPLETAR]</w:t>
      </w:r>
      <w:r>
        <w:rPr>
          <w:rFonts w:ascii="Calibri" w:hAnsi="Calibri"/>
          <w:b w:val="0"/>
          <w:i w:val="0"/>
          <w:color w:val="3E4A52"/>
          <w:sz w:val="21"/>
        </w:rPr>
        <w:t xml:space="preserve"> con las fuentes académicas del dominio que se hayan utilizado y con los datos de acceso (fecha de consulta) según exija la cátedra. Recordá usar la herramienta de Citas de Google Docs (Tools → Citations) y citar en el texto cada fuente que aparezca aquí.</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 xml:space="preserve"> (detalle de tablas, columnas y relaciones).</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«URL del repositorio».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