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 xml:space="preserve">Servicio de evaluación de riesgos (reactivo al abrir una obra y periódico cada 4 horas para obras sin tráfico), 6 tipos de alerta con auto-resolución cuando la condición que las disparó desaparece, emisión en tiempo real por Socket.IO, traza en el historial. Auditoría dedicada en </w:t>
            </w:r>
            <w:r>
              <w:rPr>
                <w:rFonts w:ascii="Consolas" w:hAnsi="Consolas"/>
                <w:b w:val="0"/>
                <w:i w:val="0"/>
                <w:color w:val="1A2329"/>
                <w:sz w:val="19"/>
              </w:rPr>
              <w:t>docs/auditoria/06-alertas.md</w:t>
            </w:r>
            <w:r>
              <w:rPr>
                <w:rFonts w:ascii="Calibri" w:hAnsi="Calibri"/>
                <w:b w:val="0"/>
                <w:i w:val="0"/>
                <w:color w:val="1A2329"/>
                <w:sz w:val="20"/>
              </w:rPr>
              <w:t>, cerrada el 26/08/2026.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 con una brecha de navegación</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Navegación tarea → notas completa.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 xml:space="preserve">Falta la navegación inversa (nota → tarea): las sugerencias muestran el nombre de la tarea como texto plano, sin </w:t>
            </w:r>
            <w:r>
              <w:rPr>
                <w:rFonts w:ascii="Calibri" w:hAnsi="Calibri"/>
                <w:b w:val="0"/>
                <w:i/>
                <w:color w:val="1A2329"/>
                <w:sz w:val="20"/>
              </w:rPr>
              <w:t>click-through</w:t>
            </w:r>
            <w:r>
              <w:rPr>
                <w:rFonts w:ascii="Calibri" w:hAnsi="Calibri"/>
                <w:b w:val="0"/>
                <w:i w:val="0"/>
                <w:color w:val="1A2329"/>
                <w:sz w:val="20"/>
              </w:rPr>
              <w:t xml:space="preserve"> al detalle.</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72 tests distribuidos en 16 archivos (ejecutados en integración continua), que cubren aislamiento por tenant, autenticación, rate limiting e importaciones; no existen todavía pruebas automatizadas de frontend ni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cuarenta y cuatro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resumen y sugerencias),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(cuarenta y cuatro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0044</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tiempo real:</w:t>
      </w:r>
      <w:r>
        <w:rPr>
          <w:rFonts w:ascii="Calibri" w:hAnsi="Calibri"/>
          <w:b w:val="0"/>
          <w:i w:val="0"/>
          <w:color w:val="1A2329"/>
          <w:sz w:val="22"/>
        </w:rPr>
        <w:t xml:space="preserve"> un servicio evalúa automáticamente los riesgos de cada obra (tareas vencidas, demoradas o bloqueadas, sin responsable, y alto porcentaje de vencimiento) y genera alertas de distintos tipos —tarea bloqueada, riesgo de demora, tarea vencida, sin respuesta, reprogramación solicitada y recepción de pedido—. La evaluación combina un chequeo reactivo (al abrir una obra) con un job periódico cada 4 horas que cubre obras sin tráfico, y cada alerta se auto-resuelve cuando la condición que la disparó desaparece (tarea completada, cancelada o corregida). Las alertas se emiten en tiempo real por Socket.IO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y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La dirección inversa (desde una nota hacia el detalle de la tarea) todavía no tiene </w:t>
      </w:r>
      <w:r>
        <w:rPr>
          <w:rFonts w:ascii="Calibri" w:hAnsi="Calibri"/>
          <w:b w:val="0"/>
          <w:i/>
          <w:color w:val="1A2329"/>
          <w:sz w:val="22"/>
        </w:rPr>
        <w:t>click-through</w:t>
      </w:r>
      <w:r>
        <w:rPr>
          <w:rFonts w:ascii="Calibri" w:hAnsi="Calibri"/>
          <w:b w:val="0"/>
          <w:i w:val="0"/>
          <w:color w:val="1A2329"/>
          <w:sz w:val="22"/>
        </w:rPr>
        <w:t xml:space="preserve">: la sugerencia muestra el nombre de la tarea como texto plano.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docs/analisis-modulo-*.md</w:t>
      </w:r>
      <w:r>
        <w:rPr>
          <w:rFonts w:ascii="Calibri" w:hAnsi="Calibri"/>
          <w:b w:val="0"/>
          <w:i w:val="0"/>
          <w:color w:val="1A2329"/>
          <w:sz w:val="22"/>
        </w:rPr>
        <w:t>) consolidados en un informe maestro (</w:t>
      </w:r>
      <w:r>
        <w:rPr>
          <w:rFonts w:ascii="Consolas" w:hAnsi="Consolas"/>
          <w:b w:val="0"/>
          <w:i w:val="0"/>
          <w:color w:val="1A2329"/>
          <w:sz w:val="21"/>
        </w:rPr>
        <w:t>docs/auditoria-sistema-consolidada.md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315 tests distribuidos en 37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permisos por obra, autenticación, </w:t>
      </w:r>
      <w:r>
        <w:rPr>
          <w:rFonts w:ascii="Calibri" w:hAnsi="Calibri"/>
          <w:b w:val="0"/>
          <w:i/>
          <w:color w:val="1A2329"/>
          <w:sz w:val="22"/>
        </w:rPr>
        <w:t>rate limiting</w:t>
      </w:r>
      <w:r>
        <w:rPr>
          <w:rFonts w:ascii="Calibri" w:hAnsi="Calibri"/>
          <w:b w:val="0"/>
          <w:i w:val="0"/>
          <w:color w:val="1A2329"/>
          <w:sz w:val="22"/>
        </w:rPr>
        <w:t>, importaciones, robustez de infraestructura y un archivo por módulo auditado. Los tests de frontend y la automatización end-to-end quedan pendientes; se declaran explícitamente en las secciones de Implementación y de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315 tests automatizados (</w:t>
      </w:r>
      <w:r>
        <w:rPr>
          <w:rFonts w:ascii="Calibri" w:hAnsi="Calibri"/>
          <w:b w:val="0"/>
          <w:i/>
          <w:color w:val="3E4A52"/>
          <w:sz w:val="21"/>
        </w:rPr>
        <w:t>pytest</w:t>
      </w:r>
      <w:r>
        <w:rPr>
          <w:rFonts w:ascii="Calibri" w:hAnsi="Calibri"/>
          <w:b w:val="0"/>
          <w:i/>
          <w:color w:val="3E4A52"/>
          <w:sz w:val="21"/>
        </w:rPr>
        <w:t>, 37 archivos) corriendo en integración continua. No existen todavía pruebas automatizadas de frontend (</w:t>
      </w:r>
      <w:r>
        <w:rPr>
          <w:rFonts w:ascii="Calibri" w:hAnsi="Calibri"/>
          <w:b w:val="0"/>
          <w:i/>
          <w:color w:val="3E4A52"/>
          <w:sz w:val="21"/>
        </w:rPr>
        <w:t>Vitest</w:t>
      </w:r>
      <w:r>
        <w:rPr>
          <w:rFonts w:ascii="Calibri" w:hAnsi="Calibri"/>
          <w:b w:val="0"/>
          <w:i/>
          <w:color w:val="3E4A52"/>
          <w:sz w:val="21"/>
        </w:rPr>
        <w:t xml:space="preserve"> u otro) ni de extremo a extremo (</w:t>
      </w:r>
      <w:r>
        <w:rPr>
          <w:rFonts w:ascii="Calibri" w:hAnsi="Calibri"/>
          <w:b w:val="0"/>
          <w:i/>
          <w:color w:val="3E4A52"/>
          <w:sz w:val="21"/>
        </w:rPr>
        <w:t>Playwright</w:t>
      </w:r>
      <w:r>
        <w:rPr>
          <w:rFonts w:ascii="Calibri" w:hAnsi="Calibri"/>
          <w:b w:val="0"/>
          <w:i/>
          <w:color w:val="3E4A52"/>
          <w:sz w:val="21"/>
        </w:rPr>
        <w:t>); se deja declarada esta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la suite automatizada cubre el backend (72 tests con pytest en 16 archivos) pero no incluye todavía pruebas automatizadas de frontend ni de extremo a extremo, ni una métrica de cobertura de código;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docs/auditoria-general.md</w:t>
      </w:r>
      <w:r>
        <w:rPr>
          <w:rFonts w:ascii="Calibri" w:hAnsi="Calibri"/>
          <w:b w:val="0"/>
          <w:i w:val="0"/>
          <w:color w:val="1A2329"/>
          <w:sz w:val="22"/>
        </w:rPr>
        <w:t xml:space="preserve">, </w:t>
      </w:r>
      <w:r>
        <w:rPr>
          <w:rFonts w:ascii="Consolas" w:hAnsi="Consolas"/>
          <w:b w:val="0"/>
          <w:i w:val="0"/>
          <w:color w:val="1A2329"/>
          <w:sz w:val="21"/>
        </w:rPr>
        <w:t>docs/auditoria-ux.md</w:t>
      </w:r>
      <w:r>
        <w:rPr>
          <w:rFonts w:ascii="Calibri" w:hAnsi="Calibri"/>
          <w:b w:val="0"/>
          <w:i w:val="0"/>
          <w:color w:val="1A2329"/>
          <w:sz w:val="22"/>
        </w:rPr>
        <w:t xml:space="preserve">, </w:t>
      </w:r>
      <w:r>
        <w:rPr>
          <w:rFonts w:ascii="Consolas" w:hAnsi="Consolas"/>
          <w:b w:val="0"/>
          <w:i w:val="0"/>
          <w:color w:val="1A2329"/>
          <w:sz w:val="21"/>
        </w:rPr>
        <w:t>docs/auditoria-flujo-alta.md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