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Las alertas se entregan dentro de la aplicación; el envío de las de severidad crítica por WhatsApp al jefe de obra queda como extensión natural. Las reglas nuevas no se auto-resuelven cuando la condición desaparece, como sí lo hacen las 6 anteriores.</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0070</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0070</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503 tests distribuidos en 46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503 tests automatizados (</w:t>
      </w:r>
      <w:r>
        <w:rPr>
          <w:rFonts w:ascii="Calibri" w:hAnsi="Calibri"/>
          <w:b w:val="0"/>
          <w:i/>
          <w:color w:val="3E4A52"/>
          <w:sz w:val="21"/>
        </w:rPr>
        <w:t>pytest</w:t>
      </w:r>
      <w:r>
        <w:rPr>
          <w:rFonts w:ascii="Calibri" w:hAnsi="Calibri"/>
          <w:b w:val="0"/>
          <w:i/>
          <w:color w:val="3E4A52"/>
          <w:sz w:val="21"/>
        </w:rPr>
        <w:t>, 46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