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0037.</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con modelo de lenguaje (Claude Haiku 4.5, salida estructurada) → resumen, puntos clave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(vencidas, bloqueadas, sin responsable, alto porcentaje de vencimiento); seis tipos de alerta; emisión en tiempo real por Socket.IO y traza en el historial.</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El método calcula, para cada tarea, sus fechas más tempranas y más tardías de inicio y fin (mediante un recorrido hacia adelante y otro hacia atrás sobre la red), y de allí su </w:t>
      </w:r>
      <w:r>
        <w:rPr>
          <w:rFonts w:ascii="Calibri" w:hAnsi="Calibri"/>
          <w:b/>
          <w:i w:val="0"/>
          <w:color w:val="1A2329"/>
          <w:sz w:val="22"/>
        </w:rPr>
        <w:t>holgura</w:t>
      </w:r>
      <w:r>
        <w:rPr>
          <w:rFonts w:ascii="Calibri" w:hAnsi="Calibri"/>
          <w:b w:val="0"/>
          <w:i w:val="0"/>
          <w:color w:val="1A2329"/>
          <w:sz w:val="22"/>
        </w:rPr>
        <w:t xml:space="preserve">; las tareas con holgura nula conforman la ruta crítica. La representación habitual del cronograma es el </w:t>
      </w:r>
      <w:r>
        <w:rPr>
          <w:rFonts w:ascii="Calibri" w:hAnsi="Calibri"/>
          <w:b/>
          <w:i w:val="0"/>
          <w:color w:val="1A2329"/>
          <w:sz w:val="22"/>
        </w:rPr>
        <w:t>diagrama de Gantt</w:t>
      </w:r>
      <w:r>
        <w:rPr>
          <w:rFonts w:ascii="Calibri" w:hAnsi="Calibri"/>
          <w:b w:val="0"/>
          <w:i w:val="0"/>
          <w:color w:val="1A2329"/>
          <w:sz w:val="22"/>
        </w:rPr>
        <w:t>, atribuido a Henry L. Gantt a comienzos del siglo XX,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 xml:space="preserve">La dirección de proyectos sistematiza, además, otros conceptos que la solución adopta: la </w:t>
      </w:r>
      <w:r>
        <w:rPr>
          <w:rFonts w:ascii="Calibri" w:hAnsi="Calibri"/>
          <w:b/>
          <w:i w:val="0"/>
          <w:color w:val="1A2329"/>
          <w:sz w:val="22"/>
        </w:rPr>
        <w:t>estructura de descomposición del trabajo (WBS)</w:t>
      </w:r>
      <w:r>
        <w:rPr>
          <w:rFonts w:ascii="Calibri" w:hAnsi="Calibri"/>
          <w:b w:val="0"/>
          <w:i w:val="0"/>
          <w:color w:val="1A2329"/>
          <w:sz w:val="22"/>
        </w:rPr>
        <w:t xml:space="preserve">, que organiza el alcance en tareas y subtareas jerárquicas; los </w:t>
      </w:r>
      <w:r>
        <w:rPr>
          <w:rFonts w:ascii="Calibri" w:hAnsi="Calibri"/>
          <w:b/>
          <w:i w:val="0"/>
          <w:color w:val="1A2329"/>
          <w:sz w:val="22"/>
        </w:rPr>
        <w:t>cuatro tipos de relación de precedencia</w:t>
      </w:r>
      <w:r>
        <w:rPr>
          <w:rFonts w:ascii="Calibri" w:hAnsi="Calibri"/>
          <w:b w:val="0"/>
          <w:i w:val="0"/>
          <w:color w:val="1A2329"/>
          <w:sz w:val="22"/>
        </w:rPr>
        <w:t xml:space="preserve"> entre actividades —Fin–Inicio (FS), Inicio–Inicio (SS), Fin–Fin (FF) e Inicio–Fin (SF)—, eventualmente con un desfase (</w:t>
      </w:r>
      <w:r>
        <w:rPr>
          <w:rFonts w:ascii="Calibri" w:hAnsi="Calibri"/>
          <w:b w:val="0"/>
          <w:i/>
          <w:color w:val="1A2329"/>
          <w:sz w:val="22"/>
        </w:rPr>
        <w:t>lag</w:t>
      </w:r>
      <w:r>
        <w:rPr>
          <w:rFonts w:ascii="Calibri" w:hAnsi="Calibri"/>
          <w:b w:val="0"/>
          <w:i w:val="0"/>
          <w:color w:val="1A2329"/>
          <w:sz w:val="22"/>
        </w:rPr>
        <w:t xml:space="preserve">); y la </w:t>
      </w:r>
      <w:r>
        <w:rPr>
          <w:rFonts w:ascii="Calibri" w:hAnsi="Calibri"/>
          <w:b/>
          <w:i w:val="0"/>
          <w:color w:val="1A2329"/>
          <w:sz w:val="22"/>
        </w:rPr>
        <w:t>línea base</w:t>
      </w:r>
      <w:r>
        <w:rPr>
          <w:rFonts w:ascii="Calibri" w:hAnsi="Calibri"/>
          <w:b w:val="0"/>
          <w:i w:val="0"/>
          <w:color w:val="1A2329"/>
          <w:sz w:val="22"/>
        </w:rPr>
        <w:t>, fotografía del cronograma aprobado que sirve de referencia para medir desvíos durante la ejecución (Project Management Institute, 2021).</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estados (planificada, en progreso, pausada, completada, cancelada) y datos del comitente.</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Seguridad:</w:t>
      </w:r>
      <w:r>
        <w:rPr>
          <w:rFonts w:ascii="Calibri" w:hAnsi="Calibri"/>
          <w:b w:val="0"/>
          <w:i w:val="0"/>
          <w:color w:val="1A2329"/>
          <w:sz w:val="22"/>
        </w:rPr>
        <w:t xml:space="preserve"> autenticación por tokens JWT, contraseñas almacenadas con </w:t>
      </w:r>
      <w:r>
        <w:rPr>
          <w:rFonts w:ascii="Calibri" w:hAnsi="Calibri"/>
          <w:b w:val="0"/>
          <w:i/>
          <w:color w:val="1A2329"/>
          <w:sz w:val="22"/>
        </w:rPr>
        <w:t>hashing</w:t>
      </w:r>
      <w:r>
        <w:rPr>
          <w:rFonts w:ascii="Calibri" w:hAnsi="Calibri"/>
          <w:b w:val="0"/>
          <w:i w:val="0"/>
          <w:color w:val="1A2329"/>
          <w:sz w:val="22"/>
        </w:rPr>
        <w:t>, control de acceso por rol (administrador / colaborador) y aislamiento estricto de los datos entre empresas (multi-inquilino). La eliminación es lógica (</w:t>
      </w:r>
      <w:r>
        <w:rPr>
          <w:rFonts w:ascii="Calibri" w:hAnsi="Calibri"/>
          <w:b w:val="0"/>
          <w:i/>
          <w:color w:val="1A2329"/>
          <w:sz w:val="22"/>
        </w:rPr>
        <w:t>soft delete</w:t>
      </w:r>
      <w:r>
        <w:rPr>
          <w:rFonts w:ascii="Calibri" w:hAnsi="Calibri"/>
          <w:b w:val="0"/>
          <w:i w:val="0"/>
          <w:color w:val="1A2329"/>
          <w:sz w:val="22"/>
        </w:rPr>
        <w:t>), preservando la información.</w:t>
      </w:r>
    </w:p>
    <w:p>
      <w:pPr>
        <w:pStyle w:val="ListBullet"/>
        <w:spacing w:after="60"/>
        <w:jc w:val="both"/>
      </w:pPr>
      <w:r>
        <w:rPr>
          <w:rFonts w:ascii="Calibri" w:hAnsi="Calibri"/>
          <w:b/>
          <w:i w:val="0"/>
          <w:color w:val="1A2329"/>
          <w:sz w:val="22"/>
        </w:rPr>
        <w:t>Usabilidad y baja fricción de adopción:</w:t>
      </w:r>
      <w:r>
        <w:rPr>
          <w:rFonts w:ascii="Calibri" w:hAnsi="Calibri"/>
          <w:b w:val="0"/>
          <w:i w:val="0"/>
          <w:color w:val="1A2329"/>
          <w:sz w:val="22"/>
        </w:rPr>
        <w:t xml:space="preserve"> el personal de campo opera por WhatsApp sin instalar ninguna aplicación; la carga de datos en el escritorio reproduce los gestos de una hoja de cálculo. Es el requerimiento no funcional rector del proyecto.</w:t>
      </w:r>
    </w:p>
    <w:p>
      <w:pPr>
        <w:pStyle w:val="ListBullet"/>
        <w:spacing w:after="60"/>
        <w:jc w:val="both"/>
      </w:pPr>
      <w:r>
        <w:rPr>
          <w:rFonts w:ascii="Calibri" w:hAnsi="Calibri"/>
          <w:b/>
          <w:i w:val="0"/>
          <w:color w:val="1A2329"/>
          <w:sz w:val="22"/>
        </w:rPr>
        <w:t>Rendimiento:</w:t>
      </w:r>
      <w:r>
        <w:rPr>
          <w:rFonts w:ascii="Calibri" w:hAnsi="Calibri"/>
          <w:b w:val="0"/>
          <w:i w:val="0"/>
          <w:color w:val="1A2329"/>
          <w:sz w:val="22"/>
        </w:rPr>
        <w:t xml:space="preserve"> el backend emplea entrada/salida asíncrona de extremo a extremo (FastAPI + SQLAlchemy </w:t>
      </w:r>
      <w:r>
        <w:rPr>
          <w:rFonts w:ascii="Calibri" w:hAnsi="Calibri"/>
          <w:b w:val="0"/>
          <w:i/>
          <w:color w:val="1A2329"/>
          <w:sz w:val="22"/>
        </w:rPr>
        <w:t>async</w:t>
      </w:r>
      <w:r>
        <w:rPr>
          <w:rFonts w:ascii="Calibri" w:hAnsi="Calibri"/>
          <w:b w:val="0"/>
          <w:i w:val="0"/>
          <w:color w:val="1A2329"/>
          <w:sz w:val="22"/>
        </w:rPr>
        <w:t xml:space="preserve">); los datos de una obra se cargan una sola vez al abrirla, y las actualizaciones de estado se propagan por </w:t>
      </w:r>
      <w:r>
        <w:rPr>
          <w:rFonts w:ascii="Calibri" w:hAnsi="Calibri"/>
          <w:b w:val="0"/>
          <w:i/>
          <w:color w:val="1A2329"/>
          <w:sz w:val="22"/>
        </w:rPr>
        <w:t>websockets</w:t>
      </w:r>
      <w:r>
        <w:rPr>
          <w:rFonts w:ascii="Calibri" w:hAnsi="Calibri"/>
          <w:b w:val="0"/>
          <w:i w:val="0"/>
          <w:color w:val="1A2329"/>
          <w:sz w:val="22"/>
        </w:rPr>
        <w:t xml:space="preserve"> en lugar de sondeo.</w:t>
      </w:r>
    </w:p>
    <w:p>
      <w:pPr>
        <w:pStyle w:val="ListBullet"/>
        <w:spacing w:after="60"/>
        <w:jc w:val="both"/>
      </w:pPr>
      <w:r>
        <w:rPr>
          <w:rFonts w:ascii="Calibri" w:hAnsi="Calibri"/>
          <w:b/>
          <w:i w:val="0"/>
          <w:color w:val="1A2329"/>
          <w:sz w:val="22"/>
        </w:rPr>
        <w:t>Trazabilidad:</w:t>
      </w:r>
      <w:r>
        <w:rPr>
          <w:rFonts w:ascii="Calibri" w:hAnsi="Calibri"/>
          <w:b w:val="0"/>
          <w:i w:val="0"/>
          <w:color w:val="1A2329"/>
          <w:sz w:val="22"/>
        </w:rPr>
        <w:t xml:space="preserve"> todo evento relevante de obra queda registrado en un historial inmutable (</w:t>
      </w:r>
      <w:r>
        <w:rPr>
          <w:rFonts w:ascii="Calibri" w:hAnsi="Calibri"/>
          <w:b w:val="0"/>
          <w:i/>
          <w:color w:val="1A2329"/>
          <w:sz w:val="22"/>
        </w:rPr>
        <w:t>append-only</w:t>
      </w:r>
      <w:r>
        <w:rPr>
          <w:rFonts w:ascii="Calibri" w:hAnsi="Calibri"/>
          <w:b w:val="0"/>
          <w:i w:val="0"/>
          <w:color w:val="1A2329"/>
          <w:sz w:val="22"/>
        </w:rPr>
        <w:t>), lo que garantiza un registro auditable y no repudiable.</w:t>
      </w:r>
    </w:p>
    <w:p>
      <w:pPr>
        <w:pStyle w:val="ListBullet"/>
        <w:spacing w:after="60"/>
        <w:jc w:val="both"/>
      </w:pPr>
      <w:r>
        <w:rPr>
          <w:rFonts w:ascii="Calibri" w:hAnsi="Calibri"/>
          <w:b/>
          <w:i w:val="0"/>
          <w:color w:val="1A2329"/>
          <w:sz w:val="22"/>
        </w:rPr>
        <w:t>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Disponibilidad y escalabilidad:</w:t>
      </w:r>
      <w:r>
        <w:rPr>
          <w:rFonts w:ascii="Calibri" w:hAnsi="Calibri"/>
          <w:b w:val="0"/>
          <w:i w:val="0"/>
          <w:color w:val="1A2329"/>
          <w:sz w:val="22"/>
        </w:rPr>
        <w:t xml:space="preserve"> backend sin estado de sesión en memoria (el estado conversacional se persiste en la base), apto para despliegue en la nube y escalado horizontal.</w:t>
      </w:r>
    </w:p>
    <w:p>
      <w:pPr>
        <w:pStyle w:val="ListBullet"/>
        <w:spacing w:after="60"/>
        <w:jc w:val="both"/>
      </w:pPr>
      <w:r>
        <w:rPr>
          <w:rFonts w:ascii="Calibri" w:hAnsi="Calibri"/>
          <w:b/>
          <w:i w:val="0"/>
          <w:color w:val="1A2329"/>
          <w:sz w:val="22"/>
        </w:rPr>
        <w:t>Costo de operación acotado:</w:t>
      </w:r>
      <w:r>
        <w:rPr>
          <w:rFonts w:ascii="Calibri" w:hAnsi="Calibri"/>
          <w:b w:val="0"/>
          <w:i w:val="0"/>
          <w:color w:val="1A2329"/>
          <w:sz w:val="22"/>
        </w:rPr>
        <w:t xml:space="preserve"> el costo variable de IA por uso es marginal (del orden de un centavo de dólar por nota de voz; véase Impacto económico).</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0037).</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w:t>
      </w:r>
      <w:r>
        <w:rPr>
          <w:rFonts w:ascii="Calibri" w:hAnsi="Calibri"/>
          <w:b/>
          <w:i w:val="0"/>
          <w:color w:val="1A2329"/>
          <w:sz w:val="22"/>
        </w:rPr>
        <w:t>máquina de estados</w:t>
      </w:r>
      <w:r>
        <w:rPr>
          <w:rFonts w:ascii="Calibri" w:hAnsi="Calibri"/>
          <w:b w:val="0"/>
          <w:i w:val="0"/>
          <w:color w:val="1A2329"/>
          <w:sz w:val="22"/>
        </w:rPr>
        <w:t xml:space="preserve">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versionado en treinta y siete migraciones (0001 a 0037),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w:t>
      </w:r>
      <w:r>
        <w:rPr>
          <w:rFonts w:ascii="Calibri" w:hAnsi="Calibri"/>
          <w:b/>
          <w:i w:val="0"/>
          <w:color w:val="1A2329"/>
          <w:sz w:val="22"/>
        </w:rPr>
        <w:t>migración</w:t>
      </w:r>
      <w:r>
        <w:rPr>
          <w:rFonts w:ascii="Calibri" w:hAnsi="Calibri"/>
          <w:b w:val="0"/>
          <w:i w:val="0"/>
          <w:color w:val="1A2329"/>
          <w:sz w:val="22"/>
        </w:rPr>
        <w:t xml:space="preserve"> versionada (treinta y siete en total, 0001 a 0037),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El backend expone alrededor de veintiséis grupos de </w:t>
      </w:r>
      <w:r>
        <w:rPr>
          <w:rFonts w:ascii="Calibri" w:hAnsi="Calibri"/>
          <w:b w:val="0"/>
          <w:i/>
          <w:color w:val="1A2329"/>
          <w:sz w:val="22"/>
        </w:rPr>
        <w:t>endpoints</w:t>
      </w:r>
      <w:r>
        <w:rPr>
          <w:rFonts w:ascii="Calibri" w:hAnsi="Calibri"/>
          <w:b w:val="0"/>
          <w:i w:val="0"/>
          <w:color w:val="1A2329"/>
          <w:sz w:val="22"/>
        </w:rPr>
        <w:t xml:space="preserve"> (autenticación, obras, tareas, dependencias, ruta crítica, línea base, calendario, alertas, notificaciones, presencia, responsables, equipo de obra, bitácora, presupuestos, planos, proveedores, materiales, órdenes de compra, importación, exportación, </w:t>
      </w:r>
      <w:r>
        <w:rPr>
          <w:rFonts w:ascii="Calibri" w:hAnsi="Calibri"/>
          <w:b w:val="0"/>
          <w:i/>
          <w:color w:val="1A2329"/>
          <w:sz w:val="22"/>
        </w:rPr>
        <w:t>webhooks</w:t>
      </w:r>
      <w:r>
        <w:rPr>
          <w:rFonts w:ascii="Calibri" w:hAnsi="Calibri"/>
          <w:b w:val="0"/>
          <w:i w:val="0"/>
          <w:color w:val="1A2329"/>
          <w:sz w:val="22"/>
        </w:rPr>
        <w:t>, administración, entre otros), apoyados en torno a veintiún entidades de datos y diecisiete servicios de negocio. El frontend se organiza en una docena de pantallas y unos treinta y cinco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garantizando el aislamiento de datos.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flechas de dependencia,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es navegable en ambos sentidos: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presupuesto por obra (estimado frente a real) y generación de </w:t>
      </w:r>
      <w:r>
        <w:rPr>
          <w:rFonts w:ascii="Calibri" w:hAnsi="Calibri"/>
          <w:b/>
          <w:i w:val="0"/>
          <w:color w:val="1A2329"/>
          <w:sz w:val="22"/>
        </w:rPr>
        <w:t>órdenes de compra</w:t>
      </w:r>
      <w:r>
        <w:rPr>
          <w:rFonts w:ascii="Calibri" w:hAnsi="Calibri"/>
          <w:b w:val="0"/>
          <w:i w:val="0"/>
          <w:color w:val="1A2329"/>
          <w:sz w:val="22"/>
        </w:rPr>
        <w:t xml:space="preserve"> a proveedores, con su envío y el seguimiento de la recepción.</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bl>
    <w:p>
      <w:pPr>
        <w:spacing w:after="80"/>
      </w:pP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