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521 tests distribuidos en 46 archivos (ejecutados en integración continua), que cubren aislamiento por tenant, autenticación, rate limiting e importaciones, sumados a 25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una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521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xml:space="preserve">, importaciones, robustez de infraestructura y un archivo por módulo auditado. A esa suite se sumaron 25 pruebas de frontend con </w:t>
      </w:r>
      <w:r>
        <w:rPr>
          <w:rFonts w:ascii="Calibri" w:hAnsi="Calibri"/>
          <w:b w:val="0"/>
          <w:i/>
          <w:color w:val="1A2329"/>
          <w:sz w:val="22"/>
        </w:rPr>
        <w:t>Vitest</w:t>
      </w:r>
      <w:r>
        <w:rPr>
          <w:rFonts w:ascii="Calibri" w:hAnsi="Calibri"/>
          <w:b w:val="0"/>
          <w:i w:val="0"/>
          <w:color w:val="1A2329"/>
          <w:sz w:val="22"/>
        </w:rPr>
        <w:t xml:space="preserve"> sobre la lógica de alertas —el catálogo de tipos y los dos </w:t>
      </w:r>
      <w:r>
        <w:rPr>
          <w:rFonts w:ascii="Calibri" w:hAnsi="Calibri"/>
          <w:b w:val="0"/>
          <w:i/>
          <w:color w:val="1A2329"/>
          <w:sz w:val="22"/>
        </w:rPr>
        <w:t>hooks</w:t>
      </w:r>
      <w:r>
        <w:rPr>
          <w:rFonts w:ascii="Calibri" w:hAnsi="Calibri"/>
          <w:b w:val="0"/>
          <w:i w:val="0"/>
          <w:color w:val="1A2329"/>
          <w:sz w:val="22"/>
        </w:rPr>
        <w:t xml:space="preserve"> que reciben los eventos en tiempo real—,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521 tests automatizados (</w:t>
      </w:r>
      <w:r>
        <w:rPr>
          <w:rFonts w:ascii="Calibri" w:hAnsi="Calibri"/>
          <w:b w:val="0"/>
          <w:i/>
          <w:color w:val="3E4A52"/>
          <w:sz w:val="21"/>
        </w:rPr>
        <w:t>pytest</w:t>
      </w:r>
      <w:r>
        <w:rPr>
          <w:rFonts w:ascii="Calibri" w:hAnsi="Calibri"/>
          <w:b w:val="0"/>
          <w:i/>
          <w:color w:val="3E4A52"/>
          <w:sz w:val="21"/>
        </w:rPr>
        <w:t>, 46 archivos) y el frontend con 25 (</w:t>
      </w:r>
      <w:r>
        <w:rPr>
          <w:rFonts w:ascii="Calibri" w:hAnsi="Calibri"/>
          <w:b w:val="0"/>
          <w:i/>
          <w:color w:val="3E4A52"/>
          <w:sz w:val="21"/>
        </w:rPr>
        <w:t>Vitest</w:t>
      </w:r>
      <w:r>
        <w:rPr>
          <w:rFonts w:ascii="Calibri" w:hAnsi="Calibri"/>
          <w:b w:val="0"/>
          <w:i/>
          <w:color w:val="3E4A52"/>
          <w:sz w:val="21"/>
        </w:rPr>
        <w:t>, 3 archivos), todos corriendo en integración continua. La cobertura de frontend es deliberadamente parcial: se concentra en la lógica de alertas, que fue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(521 tests con </w:t>
      </w:r>
      <w:r>
        <w:rPr>
          <w:rFonts w:ascii="Calibri" w:hAnsi="Calibri"/>
          <w:b w:val="0"/>
          <w:i/>
          <w:color w:val="1A2329"/>
          <w:sz w:val="22"/>
        </w:rPr>
        <w:t>pytest</w:t>
      </w:r>
      <w:r>
        <w:rPr>
          <w:rFonts w:ascii="Calibri" w:hAnsi="Calibri"/>
          <w:b w:val="0"/>
          <w:i w:val="0"/>
          <w:color w:val="1A2329"/>
          <w:sz w:val="22"/>
        </w:rPr>
        <w:t xml:space="preserve"> en 46 archivos) y, desde el 4 de septiembre de 2026, la lógica de alertas del frontend (25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