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Repositorio de planos con versionado por obra y disciplina; consulta y envío de la última versión vigente por WhatsApp.</w:t>
            </w:r>
          </w:p>
        </w:tc>
        <w:tc>
          <w:tcPr>
            <w:tcW w:type="dxa" w:w="1872"/>
            <w:shd w:val="clear" w:fill="F6F7F6"/>
          </w:tcPr>
          <w:p>
            <w:r/>
            <w:r>
              <w:rPr>
                <w:rFonts w:ascii="Calibri" w:hAnsi="Calibri"/>
                <w:b w:val="0"/>
                <w:i w:val="0"/>
                <w:color w:val="1A2329"/>
                <w:sz w:val="20"/>
              </w:rPr>
              <w:t>Ninguno relevante.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xml:space="preserve">). Como resultado, la suite automatizada alcanza 72 tests distribuidos en 16 archivos, ejecutados en integración continua ante cada cambio, cubriendo aislamiento por tenant con </w:t>
      </w:r>
      <w:r>
        <w:rPr>
          <w:rFonts w:ascii="Calibri" w:hAnsi="Calibri"/>
          <w:b w:val="0"/>
          <w:i/>
          <w:color w:val="1A2329"/>
          <w:sz w:val="22"/>
        </w:rPr>
        <w:t>pytest</w:t>
      </w:r>
      <w:r>
        <w:rPr>
          <w:rFonts w:ascii="Calibri" w:hAnsi="Calibri"/>
          <w:b w:val="0"/>
          <w:i w:val="0"/>
          <w:color w:val="1A2329"/>
          <w:sz w:val="22"/>
        </w:rPr>
        <w:t xml:space="preserve"> (</w:t>
      </w:r>
      <w:r>
        <w:rPr>
          <w:rFonts w:ascii="Consolas" w:hAnsi="Consolas"/>
          <w:b w:val="0"/>
          <w:i w:val="0"/>
          <w:color w:val="1A2329"/>
          <w:sz w:val="21"/>
        </w:rPr>
        <w:t>backend/tests/test_tenant_isolation.py</w:t>
      </w:r>
      <w:r>
        <w:rPr>
          <w:rFonts w:ascii="Calibri" w:hAnsi="Calibri"/>
          <w:b w:val="0"/>
          <w:i w:val="0"/>
          <w:color w:val="1A2329"/>
          <w:sz w:val="22"/>
        </w:rPr>
        <w:t>, que verifica que un usuario de una empresa no accede a los recursos de otra), además de autenticación, rate limiting, importaciones y robustez de infraestructura. Los tests de frontend y la automatización end-to-end quedan pendientes; se declaran explícitamente en las secciones de Implementación y de Objetivos no cumplidos.</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72 tests automatizados (</w:t>
      </w:r>
      <w:r>
        <w:rPr>
          <w:rFonts w:ascii="Calibri" w:hAnsi="Calibri"/>
          <w:b w:val="0"/>
          <w:i/>
          <w:color w:val="3E4A52"/>
          <w:sz w:val="21"/>
        </w:rPr>
        <w:t>pytest</w:t>
      </w:r>
      <w:r>
        <w:rPr>
          <w:rFonts w:ascii="Calibri" w:hAnsi="Calibri"/>
          <w:b w:val="0"/>
          <w:i/>
          <w:color w:val="3E4A52"/>
          <w:sz w:val="21"/>
        </w:rPr>
        <w:t>, 16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