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DFB" w:rsidRDefault="00AE2ACC" w:rsidP="00A2620F">
      <w:pPr>
        <w:pStyle w:val="Ttulo1"/>
        <w:jc w:val="center"/>
        <w:rPr>
          <w:lang w:val="es-ES"/>
        </w:rPr>
      </w:pPr>
      <w:r>
        <w:rPr>
          <w:noProof/>
        </w:rPr>
        <w:pict>
          <v:line id="_x0000_s1035" style="position:absolute;left:0;text-align:left;z-index:251657216;v-text-anchor:middle" from="46.7pt,267.5pt" to="382.7pt,267.5pt" o:allowincell="f" strokecolor="silver" strokeweight="4.5pt">
            <v:stroke linestyle="thinThick"/>
          </v:line>
        </w:pict>
      </w:r>
      <w:r>
        <w:rPr>
          <w:noProof/>
        </w:rPr>
        <w:pict>
          <v:rect id="_x0000_s1034" style="position:absolute;left:0;text-align:left;margin-left:-13.9pt;margin-top:131.9pt;width:459pt;height:114pt;z-index:251656192;v-text-anchor:middle" o:allowincell="f" filled="f" fillcolor="#0c9" stroked="f">
            <v:textbox style="mso-next-textbox:#_x0000_s1034">
              <w:txbxContent>
                <w:p w:rsidR="00941104" w:rsidRDefault="00941104">
                  <w:pPr>
                    <w:jc w:val="center"/>
                    <w:rPr>
                      <w:b/>
                      <w:snapToGrid w:val="0"/>
                      <w:color w:val="000000"/>
                      <w:sz w:val="48"/>
                      <w:lang w:val="es-ES_tradnl"/>
                    </w:rPr>
                  </w:pPr>
                  <w:r>
                    <w:rPr>
                      <w:b/>
                      <w:snapToGrid w:val="0"/>
                      <w:color w:val="000000"/>
                      <w:sz w:val="48"/>
                      <w:lang w:val="es-ES_tradnl"/>
                    </w:rPr>
                    <w:t>Cuestionario (OQ</w:t>
                  </w:r>
                  <w:r>
                    <w:rPr>
                      <w:b/>
                      <w:snapToGrid w:val="0"/>
                      <w:color w:val="000000"/>
                      <w:sz w:val="28"/>
                      <w:vertAlign w:val="superscript"/>
                      <w:lang w:val="es-ES_tradnl"/>
                    </w:rPr>
                    <w:t>TM</w:t>
                  </w:r>
                  <w:r>
                    <w:rPr>
                      <w:b/>
                      <w:snapToGrid w:val="0"/>
                      <w:color w:val="000000"/>
                      <w:sz w:val="48"/>
                      <w:lang w:val="es-ES_tradnl"/>
                    </w:rPr>
                    <w:t>-45.2)*</w:t>
                  </w:r>
                </w:p>
                <w:p w:rsidR="00941104" w:rsidRDefault="00941104">
                  <w:pPr>
                    <w:jc w:val="center"/>
                    <w:rPr>
                      <w:b/>
                      <w:snapToGrid w:val="0"/>
                      <w:color w:val="000000"/>
                      <w:sz w:val="48"/>
                      <w:lang w:val="es-ES_tradnl"/>
                    </w:rPr>
                  </w:pPr>
                </w:p>
                <w:p w:rsidR="00941104" w:rsidRDefault="004A7569">
                  <w:pPr>
                    <w:jc w:val="center"/>
                    <w:rPr>
                      <w:b/>
                      <w:snapToGrid w:val="0"/>
                      <w:color w:val="000000"/>
                      <w:sz w:val="48"/>
                      <w:lang w:val="es-ES_tradnl"/>
                    </w:rPr>
                  </w:pPr>
                  <w:r>
                    <w:rPr>
                      <w:b/>
                      <w:snapToGrid w:val="0"/>
                      <w:color w:val="000000"/>
                      <w:sz w:val="48"/>
                      <w:lang w:val="es-ES_tradnl"/>
                    </w:rPr>
                    <w:t>Guía de i</w:t>
                  </w:r>
                  <w:r w:rsidR="00941104">
                    <w:rPr>
                      <w:b/>
                      <w:snapToGrid w:val="0"/>
                      <w:color w:val="000000"/>
                      <w:sz w:val="48"/>
                      <w:lang w:val="es-ES_tradnl"/>
                    </w:rPr>
                    <w:t>nterpretación de resultados</w:t>
                  </w:r>
                </w:p>
                <w:p w:rsidR="00941104" w:rsidRDefault="00941104">
                  <w:pPr>
                    <w:jc w:val="center"/>
                    <w:rPr>
                      <w:b/>
                      <w:snapToGrid w:val="0"/>
                      <w:color w:val="000000"/>
                      <w:sz w:val="48"/>
                      <w:lang w:val="es-ES_tradnl"/>
                    </w:rPr>
                  </w:pPr>
                  <w:r>
                    <w:rPr>
                      <w:b/>
                      <w:snapToGrid w:val="0"/>
                      <w:color w:val="000000"/>
                      <w:sz w:val="48"/>
                      <w:lang w:val="es-ES_tradnl"/>
                    </w:rPr>
                    <w:t>para el terapeuta</w:t>
                  </w:r>
                </w:p>
              </w:txbxContent>
            </v:textbox>
          </v:rect>
        </w:pict>
      </w:r>
      <w:r>
        <w:rPr>
          <w:noProof/>
        </w:rPr>
        <w:pict>
          <v:line id="_x0000_s1036" style="position:absolute;left:0;text-align:left;z-index:251658240;v-text-anchor:middle" from="91.1pt,526.6pt" to="307.1pt,526.6pt" o:allowincell="f" strokecolor="silver" strokeweight="4.5pt">
            <v:stroke linestyle="thinThick"/>
          </v:lin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-30.15pt;margin-top:656.9pt;width:331.5pt;height:75.65pt;z-index:251659264;v-text-anchor:top-baseline" o:allowincell="f" filled="f" fillcolor="#0c9" stroked="f">
            <v:textbox>
              <w:txbxContent>
                <w:p w:rsidR="00941104" w:rsidRDefault="00941104">
                  <w:pPr>
                    <w:rPr>
                      <w:rFonts w:ascii="Arial" w:hAnsi="Arial"/>
                      <w:i/>
                      <w:snapToGrid w:val="0"/>
                      <w:color w:val="000000"/>
                      <w:lang w:val="es-ES_tradnl"/>
                    </w:rPr>
                  </w:pPr>
                  <w:r>
                    <w:rPr>
                      <w:rFonts w:ascii="Arial" w:hAnsi="Arial"/>
                      <w:b/>
                      <w:i/>
                      <w:snapToGrid w:val="0"/>
                      <w:color w:val="000000"/>
                      <w:lang w:val="es-ES_tradnl"/>
                    </w:rPr>
                    <w:t>(*) Outpatient Questionaire</w:t>
                  </w:r>
                </w:p>
                <w:p w:rsidR="00941104" w:rsidRPr="00A2620F" w:rsidRDefault="00941104">
                  <w:pPr>
                    <w:rPr>
                      <w:rFonts w:ascii="Arial" w:hAnsi="Arial"/>
                      <w:i/>
                      <w:snapToGrid w:val="0"/>
                      <w:color w:val="000000"/>
                      <w:lang w:val="en-GB"/>
                    </w:rPr>
                  </w:pPr>
                  <w:r>
                    <w:rPr>
                      <w:rFonts w:ascii="Arial" w:hAnsi="Arial"/>
                      <w:i/>
                      <w:snapToGrid w:val="0"/>
                      <w:color w:val="000000"/>
                      <w:lang w:val="es-ES_tradnl"/>
                    </w:rPr>
                    <w:t xml:space="preserve">Desarrollado por Michael Lambert. </w:t>
                  </w:r>
                  <w:smartTag w:uri="urn:schemas-microsoft-com:office:smarttags" w:element="place">
                    <w:smartTag w:uri="urn:schemas-microsoft-com:office:smarttags" w:element="PlaceName">
                      <w:r w:rsidRPr="00A2620F">
                        <w:rPr>
                          <w:rFonts w:ascii="Arial" w:hAnsi="Arial"/>
                          <w:i/>
                          <w:snapToGrid w:val="0"/>
                          <w:color w:val="000000"/>
                          <w:lang w:val="en-GB"/>
                        </w:rPr>
                        <w:t>Brigham</w:t>
                      </w:r>
                    </w:smartTag>
                    <w:r w:rsidRPr="00A2620F">
                      <w:rPr>
                        <w:rFonts w:ascii="Arial" w:hAnsi="Arial"/>
                        <w:i/>
                        <w:snapToGrid w:val="0"/>
                        <w:color w:val="000000"/>
                        <w:lang w:val="en-GB"/>
                      </w:rPr>
                      <w:t xml:space="preserve"> </w:t>
                    </w:r>
                    <w:smartTag w:uri="urn:schemas-microsoft-com:office:smarttags" w:element="PlaceName">
                      <w:r w:rsidRPr="00A2620F">
                        <w:rPr>
                          <w:rFonts w:ascii="Arial" w:hAnsi="Arial"/>
                          <w:i/>
                          <w:snapToGrid w:val="0"/>
                          <w:color w:val="000000"/>
                          <w:lang w:val="en-GB"/>
                        </w:rPr>
                        <w:t>Young</w:t>
                      </w:r>
                    </w:smartTag>
                    <w:r w:rsidRPr="00A2620F">
                      <w:rPr>
                        <w:rFonts w:ascii="Arial" w:hAnsi="Arial"/>
                        <w:i/>
                        <w:snapToGrid w:val="0"/>
                        <w:color w:val="000000"/>
                        <w:lang w:val="en-GB"/>
                      </w:rPr>
                      <w:t xml:space="preserve"> </w:t>
                    </w:r>
                    <w:smartTag w:uri="urn:schemas-microsoft-com:office:smarttags" w:element="PlaceType">
                      <w:r w:rsidRPr="00A2620F">
                        <w:rPr>
                          <w:rFonts w:ascii="Arial" w:hAnsi="Arial"/>
                          <w:i/>
                          <w:snapToGrid w:val="0"/>
                          <w:color w:val="000000"/>
                          <w:lang w:val="en-GB"/>
                        </w:rPr>
                        <w:t>University</w:t>
                      </w:r>
                    </w:smartTag>
                  </w:smartTag>
                  <w:r w:rsidRPr="00A2620F">
                    <w:rPr>
                      <w:rFonts w:ascii="Arial" w:hAnsi="Arial"/>
                      <w:i/>
                      <w:snapToGrid w:val="0"/>
                      <w:color w:val="000000"/>
                      <w:lang w:val="en-GB"/>
                    </w:rPr>
                    <w:t xml:space="preserve">. </w:t>
                  </w:r>
                  <w:smartTag w:uri="urn:schemas-microsoft-com:office:smarttags" w:element="country-region">
                    <w:smartTag w:uri="urn:schemas-microsoft-com:office:smarttags" w:element="place">
                      <w:r w:rsidRPr="00A2620F">
                        <w:rPr>
                          <w:rFonts w:ascii="Arial" w:hAnsi="Arial"/>
                          <w:i/>
                          <w:snapToGrid w:val="0"/>
                          <w:color w:val="000000"/>
                          <w:lang w:val="en-GB"/>
                        </w:rPr>
                        <w:t>U.S.A.</w:t>
                      </w:r>
                    </w:smartTag>
                  </w:smartTag>
                </w:p>
                <w:p w:rsidR="00941104" w:rsidRDefault="00941104">
                  <w:pPr>
                    <w:rPr>
                      <w:rFonts w:ascii="Arial" w:hAnsi="Arial"/>
                      <w:i/>
                      <w:snapToGrid w:val="0"/>
                      <w:color w:val="000000"/>
                      <w:lang w:val="es-ES_tradnl"/>
                    </w:rPr>
                  </w:pPr>
                  <w:r>
                    <w:rPr>
                      <w:rFonts w:ascii="Arial" w:hAnsi="Arial"/>
                      <w:i/>
                      <w:snapToGrid w:val="0"/>
                      <w:color w:val="000000"/>
                      <w:lang w:val="es-ES_tradnl"/>
                    </w:rPr>
                    <w:t>Autorizado para su aplicación al Instituto de Estudios Psicoterapeuticos.</w:t>
                  </w:r>
                </w:p>
                <w:p w:rsidR="00941104" w:rsidRDefault="00941104">
                  <w:pPr>
                    <w:rPr>
                      <w:rFonts w:ascii="Arial" w:hAnsi="Arial"/>
                      <w:i/>
                      <w:snapToGrid w:val="0"/>
                      <w:color w:val="000000"/>
                      <w:lang w:val="es-ES_tradnl"/>
                    </w:rPr>
                  </w:pPr>
                  <w:r>
                    <w:rPr>
                      <w:rFonts w:ascii="Arial" w:hAnsi="Arial"/>
                      <w:i/>
                      <w:snapToGrid w:val="0"/>
                      <w:color w:val="000000"/>
                      <w:lang w:val="es-ES_tradnl"/>
                    </w:rPr>
                    <w:t xml:space="preserve">C. Mirapeix. Santander. CANTABRIA.  </w:t>
                  </w:r>
                </w:p>
              </w:txbxContent>
            </v:textbox>
          </v:shape>
        </w:pict>
      </w:r>
      <w:r>
        <w:rPr>
          <w:lang w:val="es-ES"/>
        </w:rPr>
        <w:br w:type="page"/>
      </w:r>
    </w:p>
    <w:p w:rsidR="00AE2ACC" w:rsidRDefault="00AE2ACC" w:rsidP="00A2620F">
      <w:pPr>
        <w:pStyle w:val="Ttulo1"/>
        <w:jc w:val="center"/>
        <w:rPr>
          <w:lang w:val="es-ES"/>
        </w:rPr>
      </w:pPr>
      <w:r>
        <w:rPr>
          <w:lang w:val="es-ES"/>
        </w:rPr>
        <w:t>INTERPRETACIÓN</w:t>
      </w:r>
    </w:p>
    <w:p w:rsidR="001D1DFB" w:rsidRPr="001D1DFB" w:rsidRDefault="001D1DFB" w:rsidP="001D1DFB"/>
    <w:p w:rsidR="00AE2ACC" w:rsidRPr="004A7569" w:rsidRDefault="004A7569" w:rsidP="004A7569">
      <w:pPr>
        <w:pStyle w:val="Ttulo4"/>
        <w:jc w:val="both"/>
        <w:rPr>
          <w:rFonts w:ascii="Gill Sans MT Pro Book" w:hAnsi="Gill Sans MT Pro Book"/>
          <w:szCs w:val="24"/>
          <w:lang w:val="es-ES"/>
        </w:rPr>
      </w:pPr>
      <w:r>
        <w:rPr>
          <w:rFonts w:ascii="Gill Sans MT Pro Book" w:hAnsi="Gill Sans MT Pro Book"/>
          <w:szCs w:val="24"/>
          <w:lang w:val="es-ES"/>
        </w:rPr>
        <w:t>Para usar clí</w:t>
      </w:r>
      <w:r w:rsidR="00AE2ACC" w:rsidRPr="004A7569">
        <w:rPr>
          <w:rFonts w:ascii="Gill Sans MT Pro Book" w:hAnsi="Gill Sans MT Pro Book"/>
          <w:szCs w:val="24"/>
          <w:lang w:val="es-ES"/>
        </w:rPr>
        <w:t>nicamente el OQ-45 los clínicos</w:t>
      </w:r>
      <w:r w:rsidRPr="004A7569">
        <w:rPr>
          <w:rFonts w:ascii="Gill Sans MT Pro Book" w:hAnsi="Gill Sans MT Pro Book"/>
          <w:szCs w:val="24"/>
          <w:lang w:val="es-ES"/>
        </w:rPr>
        <w:t xml:space="preserve"> deberán considerar 3 elementos</w:t>
      </w:r>
      <w:r w:rsidR="00AE2ACC" w:rsidRPr="004A7569">
        <w:rPr>
          <w:rFonts w:ascii="Gill Sans MT Pro Book" w:hAnsi="Gill Sans MT Pro Book"/>
          <w:szCs w:val="24"/>
          <w:lang w:val="es-ES"/>
        </w:rPr>
        <w:t>:</w:t>
      </w:r>
    </w:p>
    <w:p w:rsidR="00AE2ACC" w:rsidRPr="004A7569" w:rsidRDefault="00AE2ACC" w:rsidP="004A7569">
      <w:pPr>
        <w:jc w:val="both"/>
        <w:rPr>
          <w:rFonts w:ascii="Gill Sans MT Pro Book" w:hAnsi="Gill Sans MT Pro Book"/>
          <w:sz w:val="24"/>
          <w:szCs w:val="24"/>
        </w:rPr>
      </w:pPr>
    </w:p>
    <w:p w:rsidR="00AE2ACC" w:rsidRPr="004A7569" w:rsidRDefault="00AE2ACC" w:rsidP="004A7569">
      <w:pPr>
        <w:jc w:val="both"/>
        <w:rPr>
          <w:rFonts w:ascii="Gill Sans MT Pro Book" w:hAnsi="Gill Sans MT Pro Book"/>
          <w:sz w:val="24"/>
          <w:szCs w:val="24"/>
        </w:rPr>
      </w:pPr>
      <w:r w:rsidRPr="004A7569">
        <w:rPr>
          <w:rFonts w:ascii="Gill Sans MT Pro Book" w:hAnsi="Gill Sans MT Pro Book"/>
          <w:sz w:val="24"/>
          <w:szCs w:val="24"/>
        </w:rPr>
        <w:t>1.- las respuest</w:t>
      </w:r>
      <w:r w:rsidR="004A7569">
        <w:rPr>
          <w:rFonts w:ascii="Gill Sans MT Pro Book" w:hAnsi="Gill Sans MT Pro Book"/>
          <w:sz w:val="24"/>
          <w:szCs w:val="24"/>
        </w:rPr>
        <w:t>as del paciente a determinados í</w:t>
      </w:r>
      <w:r w:rsidRPr="004A7569">
        <w:rPr>
          <w:rFonts w:ascii="Gill Sans MT Pro Book" w:hAnsi="Gill Sans MT Pro Book"/>
          <w:sz w:val="24"/>
          <w:szCs w:val="24"/>
        </w:rPr>
        <w:t>tems</w:t>
      </w:r>
    </w:p>
    <w:p w:rsidR="00AE2ACC" w:rsidRPr="004A7569" w:rsidRDefault="00AE2ACC" w:rsidP="004A7569">
      <w:pPr>
        <w:jc w:val="both"/>
        <w:rPr>
          <w:rFonts w:ascii="Gill Sans MT Pro Book" w:hAnsi="Gill Sans MT Pro Book"/>
          <w:sz w:val="24"/>
          <w:szCs w:val="24"/>
        </w:rPr>
      </w:pPr>
      <w:r w:rsidRPr="004A7569">
        <w:rPr>
          <w:rFonts w:ascii="Gill Sans MT Pro Book" w:hAnsi="Gill Sans MT Pro Book"/>
          <w:sz w:val="24"/>
          <w:szCs w:val="24"/>
        </w:rPr>
        <w:t>2.- la puntuación total</w:t>
      </w:r>
    </w:p>
    <w:p w:rsidR="00AE2ACC" w:rsidRPr="004A7569" w:rsidRDefault="00AE2ACC" w:rsidP="004A7569">
      <w:pPr>
        <w:jc w:val="both"/>
        <w:rPr>
          <w:rFonts w:ascii="Gill Sans MT Pro Book" w:hAnsi="Gill Sans MT Pro Book"/>
          <w:sz w:val="24"/>
          <w:szCs w:val="24"/>
        </w:rPr>
      </w:pPr>
      <w:r w:rsidRPr="004A7569">
        <w:rPr>
          <w:rFonts w:ascii="Gill Sans MT Pro Book" w:hAnsi="Gill Sans MT Pro Book"/>
          <w:sz w:val="24"/>
          <w:szCs w:val="24"/>
        </w:rPr>
        <w:t>3.- La puntuación de las subescalas.</w:t>
      </w:r>
    </w:p>
    <w:p w:rsidR="00AE2ACC" w:rsidRPr="004A7569" w:rsidRDefault="00AE2ACC" w:rsidP="004A7569">
      <w:pPr>
        <w:jc w:val="both"/>
        <w:rPr>
          <w:rFonts w:ascii="Gill Sans MT Pro Book" w:hAnsi="Gill Sans MT Pro Book"/>
          <w:sz w:val="24"/>
          <w:szCs w:val="24"/>
        </w:rPr>
      </w:pPr>
    </w:p>
    <w:p w:rsidR="00AE2ACC" w:rsidRPr="004A7569" w:rsidRDefault="00AE2ACC" w:rsidP="004A7569">
      <w:pPr>
        <w:jc w:val="both"/>
        <w:rPr>
          <w:rFonts w:ascii="Gill Sans MT Pro Book" w:hAnsi="Gill Sans MT Pro Book"/>
          <w:sz w:val="24"/>
          <w:szCs w:val="24"/>
        </w:rPr>
      </w:pPr>
    </w:p>
    <w:p w:rsidR="00AE2ACC" w:rsidRPr="004A7569" w:rsidRDefault="004A7569" w:rsidP="004A7569">
      <w:pPr>
        <w:pStyle w:val="Ttulo1"/>
        <w:jc w:val="both"/>
        <w:rPr>
          <w:rFonts w:ascii="Gill Sans MT Pro Book" w:hAnsi="Gill Sans MT Pro Book"/>
          <w:szCs w:val="24"/>
        </w:rPr>
      </w:pPr>
      <w:r>
        <w:rPr>
          <w:rFonts w:ascii="Gill Sans MT Pro Book" w:hAnsi="Gill Sans MT Pro Book"/>
          <w:szCs w:val="24"/>
        </w:rPr>
        <w:t>1.- EVALUACIÓN DE LOS Í</w:t>
      </w:r>
      <w:r w:rsidR="00AE2ACC" w:rsidRPr="004A7569">
        <w:rPr>
          <w:rFonts w:ascii="Gill Sans MT Pro Book" w:hAnsi="Gill Sans MT Pro Book"/>
          <w:szCs w:val="24"/>
        </w:rPr>
        <w:t>TEMS</w:t>
      </w:r>
    </w:p>
    <w:p w:rsidR="00AE2ACC" w:rsidRPr="004A7569" w:rsidRDefault="00AE2ACC" w:rsidP="004A7569">
      <w:pPr>
        <w:jc w:val="both"/>
        <w:rPr>
          <w:rFonts w:ascii="Gill Sans MT Pro Book" w:hAnsi="Gill Sans MT Pro Book"/>
          <w:sz w:val="24"/>
          <w:szCs w:val="24"/>
        </w:rPr>
      </w:pPr>
    </w:p>
    <w:p w:rsidR="00AE2ACC" w:rsidRPr="004A7569" w:rsidRDefault="00AE2ACC" w:rsidP="004A7569">
      <w:pPr>
        <w:pStyle w:val="Ttulo4"/>
        <w:jc w:val="both"/>
        <w:rPr>
          <w:rFonts w:ascii="Gill Sans MT Pro Book" w:hAnsi="Gill Sans MT Pro Book"/>
          <w:szCs w:val="24"/>
          <w:lang w:val="es-ES"/>
        </w:rPr>
      </w:pPr>
      <w:r w:rsidRPr="004A7569">
        <w:rPr>
          <w:rFonts w:ascii="Gill Sans MT Pro Book" w:hAnsi="Gill Sans MT Pro Book"/>
          <w:szCs w:val="24"/>
          <w:lang w:val="es-ES"/>
        </w:rPr>
        <w:t>Los clínicos primero deberán considerar la puntuación de los pacientes en det</w:t>
      </w:r>
      <w:r w:rsidR="004A7569">
        <w:rPr>
          <w:rFonts w:ascii="Gill Sans MT Pro Book" w:hAnsi="Gill Sans MT Pro Book"/>
          <w:szCs w:val="24"/>
          <w:lang w:val="es-ES"/>
        </w:rPr>
        <w:t>erminados ítems considerados crí</w:t>
      </w:r>
      <w:r w:rsidRPr="004A7569">
        <w:rPr>
          <w:rFonts w:ascii="Gill Sans MT Pro Book" w:hAnsi="Gill Sans MT Pro Book"/>
          <w:szCs w:val="24"/>
          <w:lang w:val="es-ES"/>
        </w:rPr>
        <w:t>tic</w:t>
      </w:r>
      <w:r w:rsidR="004A7569">
        <w:rPr>
          <w:rFonts w:ascii="Gill Sans MT Pro Book" w:hAnsi="Gill Sans MT Pro Book"/>
          <w:szCs w:val="24"/>
          <w:lang w:val="es-ES"/>
        </w:rPr>
        <w:t>os; estos son, por ejemplo, el ítem 8 que evalúa el potencial suicida, los ítems 11, 26 y 32 que evalúan el abuso de sustancias y el í</w:t>
      </w:r>
      <w:r w:rsidRPr="004A7569">
        <w:rPr>
          <w:rFonts w:ascii="Gill Sans MT Pro Book" w:hAnsi="Gill Sans MT Pro Book"/>
          <w:szCs w:val="24"/>
          <w:lang w:val="es-ES"/>
        </w:rPr>
        <w:t>tem 44</w:t>
      </w:r>
      <w:r w:rsidR="004A7569">
        <w:rPr>
          <w:rFonts w:ascii="Gill Sans MT Pro Book" w:hAnsi="Gill Sans MT Pro Book"/>
          <w:szCs w:val="24"/>
          <w:lang w:val="es-ES"/>
        </w:rPr>
        <w:t xml:space="preserve"> que evalú</w:t>
      </w:r>
      <w:r w:rsidRPr="004A7569">
        <w:rPr>
          <w:rFonts w:ascii="Gill Sans MT Pro Book" w:hAnsi="Gill Sans MT Pro Book"/>
          <w:szCs w:val="24"/>
          <w:lang w:val="es-ES"/>
        </w:rPr>
        <w:t>a la violencia en el trabajo.</w:t>
      </w:r>
    </w:p>
    <w:p w:rsidR="00AE2ACC" w:rsidRPr="004A7569" w:rsidRDefault="00AE2ACC" w:rsidP="004A7569">
      <w:pPr>
        <w:jc w:val="both"/>
        <w:rPr>
          <w:rFonts w:ascii="Gill Sans MT Pro Book" w:hAnsi="Gill Sans MT Pro Book"/>
          <w:sz w:val="24"/>
          <w:szCs w:val="24"/>
        </w:rPr>
      </w:pPr>
    </w:p>
    <w:p w:rsidR="00AE2ACC" w:rsidRPr="004A7569" w:rsidRDefault="00AE2ACC" w:rsidP="004A7569">
      <w:pPr>
        <w:pStyle w:val="Ttulo2"/>
        <w:jc w:val="both"/>
        <w:rPr>
          <w:rFonts w:ascii="Gill Sans MT Pro Book" w:hAnsi="Gill Sans MT Pro Book"/>
          <w:sz w:val="24"/>
          <w:szCs w:val="24"/>
        </w:rPr>
      </w:pPr>
      <w:r w:rsidRPr="004A7569">
        <w:rPr>
          <w:rFonts w:ascii="Gill Sans MT Pro Book" w:hAnsi="Gill Sans MT Pro Book"/>
          <w:sz w:val="24"/>
          <w:szCs w:val="24"/>
        </w:rPr>
        <w:t>2.- PUNTUACIÓN TOTAL</w:t>
      </w:r>
    </w:p>
    <w:p w:rsidR="00AE2ACC" w:rsidRPr="004A7569" w:rsidRDefault="00AE2ACC" w:rsidP="004A7569">
      <w:pPr>
        <w:jc w:val="both"/>
        <w:rPr>
          <w:rFonts w:ascii="Gill Sans MT Pro Book" w:hAnsi="Gill Sans MT Pro Book"/>
          <w:sz w:val="24"/>
          <w:szCs w:val="24"/>
        </w:rPr>
      </w:pPr>
    </w:p>
    <w:p w:rsidR="00AE2ACC" w:rsidRPr="004A7569" w:rsidRDefault="00AE2ACC" w:rsidP="004A7569">
      <w:pPr>
        <w:jc w:val="both"/>
        <w:rPr>
          <w:rFonts w:ascii="Gill Sans MT Pro Book" w:hAnsi="Gill Sans MT Pro Book"/>
          <w:sz w:val="24"/>
          <w:szCs w:val="24"/>
        </w:rPr>
      </w:pPr>
      <w:r w:rsidRPr="004A7569">
        <w:rPr>
          <w:rFonts w:ascii="Gill Sans MT Pro Book" w:hAnsi="Gill Sans MT Pro Book"/>
          <w:sz w:val="24"/>
          <w:szCs w:val="24"/>
        </w:rPr>
        <w:t>Una alta puntuación en esta escala sugiere que el paciente presenta una gran “incomodidad sintomática”, pri</w:t>
      </w:r>
      <w:r w:rsidR="004A7569">
        <w:rPr>
          <w:rFonts w:ascii="Gill Sans MT Pro Book" w:hAnsi="Gill Sans MT Pro Book"/>
          <w:sz w:val="24"/>
          <w:szCs w:val="24"/>
        </w:rPr>
        <w:t>ncipalmente ansiedad, depresión</w:t>
      </w:r>
      <w:r w:rsidRPr="004A7569">
        <w:rPr>
          <w:rFonts w:ascii="Gill Sans MT Pro Book" w:hAnsi="Gill Sans MT Pro Book"/>
          <w:sz w:val="24"/>
          <w:szCs w:val="24"/>
        </w:rPr>
        <w:t>, problemas somáticos y estrés así como dificultades personales y en su rol social (trabajo, calidad de vida).</w:t>
      </w:r>
    </w:p>
    <w:p w:rsidR="00AE2ACC" w:rsidRPr="004A7569" w:rsidRDefault="00AE2ACC" w:rsidP="004A7569">
      <w:pPr>
        <w:jc w:val="both"/>
        <w:rPr>
          <w:rFonts w:ascii="Gill Sans MT Pro Book" w:hAnsi="Gill Sans MT Pro Book"/>
          <w:sz w:val="24"/>
          <w:szCs w:val="24"/>
        </w:rPr>
      </w:pPr>
      <w:r w:rsidRPr="004A7569">
        <w:rPr>
          <w:rFonts w:ascii="Gill Sans MT Pro Book" w:hAnsi="Gill Sans MT Pro Book"/>
          <w:sz w:val="24"/>
          <w:szCs w:val="24"/>
        </w:rPr>
        <w:t xml:space="preserve"> </w:t>
      </w:r>
    </w:p>
    <w:p w:rsidR="00AE2ACC" w:rsidRPr="004A7569" w:rsidRDefault="00AE2ACC" w:rsidP="004A7569">
      <w:pPr>
        <w:jc w:val="both"/>
        <w:rPr>
          <w:rFonts w:ascii="Gill Sans MT Pro Book" w:hAnsi="Gill Sans MT Pro Book"/>
          <w:sz w:val="24"/>
          <w:szCs w:val="24"/>
        </w:rPr>
      </w:pPr>
      <w:r w:rsidRPr="004A7569">
        <w:rPr>
          <w:rFonts w:ascii="Gill Sans MT Pro Book" w:hAnsi="Gill Sans MT Pro Book"/>
          <w:sz w:val="24"/>
          <w:szCs w:val="24"/>
        </w:rPr>
        <w:t xml:space="preserve">Esta total de esta escala establece el punto de corte en </w:t>
      </w:r>
      <w:r w:rsidRPr="004A7569">
        <w:rPr>
          <w:rFonts w:ascii="Gill Sans MT Pro Book" w:hAnsi="Gill Sans MT Pro Book"/>
          <w:b/>
          <w:sz w:val="24"/>
          <w:szCs w:val="24"/>
        </w:rPr>
        <w:t>63</w:t>
      </w:r>
      <w:r w:rsidRPr="004A7569">
        <w:rPr>
          <w:rFonts w:ascii="Gill Sans MT Pro Book" w:hAnsi="Gill Sans MT Pro Book"/>
          <w:sz w:val="24"/>
          <w:szCs w:val="24"/>
        </w:rPr>
        <w:t xml:space="preserve"> por ello cualquier puntuación superior a este número indica la presencia de sintomatología.</w:t>
      </w:r>
    </w:p>
    <w:p w:rsidR="00AE2ACC" w:rsidRPr="004A7569" w:rsidRDefault="00AE2ACC" w:rsidP="004A7569">
      <w:pPr>
        <w:jc w:val="both"/>
        <w:rPr>
          <w:rFonts w:ascii="Gill Sans MT Pro Book" w:hAnsi="Gill Sans MT Pro Book"/>
          <w:sz w:val="24"/>
          <w:szCs w:val="24"/>
        </w:rPr>
      </w:pPr>
      <w:r w:rsidRPr="004A7569">
        <w:rPr>
          <w:rFonts w:ascii="Gill Sans MT Pro Book" w:hAnsi="Gill Sans MT Pro Book"/>
          <w:sz w:val="24"/>
          <w:szCs w:val="24"/>
        </w:rPr>
        <w:tab/>
      </w:r>
    </w:p>
    <w:p w:rsidR="00AE2ACC" w:rsidRPr="004A7569" w:rsidRDefault="004A7569" w:rsidP="004A7569">
      <w:pPr>
        <w:jc w:val="both"/>
        <w:rPr>
          <w:rFonts w:ascii="Gill Sans MT Pro Book" w:hAnsi="Gill Sans MT Pro Book"/>
          <w:sz w:val="24"/>
          <w:szCs w:val="24"/>
        </w:rPr>
      </w:pPr>
      <w:r>
        <w:rPr>
          <w:rFonts w:ascii="Gill Sans MT Pro Book" w:hAnsi="Gill Sans MT Pro Book"/>
          <w:sz w:val="24"/>
          <w:szCs w:val="24"/>
        </w:rPr>
        <w:t>En esta escala pretest–</w:t>
      </w:r>
      <w:r w:rsidR="00AE2ACC" w:rsidRPr="004A7569">
        <w:rPr>
          <w:rFonts w:ascii="Gill Sans MT Pro Book" w:hAnsi="Gill Sans MT Pro Book"/>
          <w:sz w:val="24"/>
          <w:szCs w:val="24"/>
        </w:rPr>
        <w:t xml:space="preserve">postest cuando </w:t>
      </w:r>
      <w:r>
        <w:rPr>
          <w:rFonts w:ascii="Gill Sans MT Pro Book" w:hAnsi="Gill Sans MT Pro Book"/>
          <w:sz w:val="24"/>
          <w:szCs w:val="24"/>
        </w:rPr>
        <w:t>la puntuación  varí</w:t>
      </w:r>
      <w:r w:rsidR="00AE2ACC" w:rsidRPr="004A7569">
        <w:rPr>
          <w:rFonts w:ascii="Gill Sans MT Pro Book" w:hAnsi="Gill Sans MT Pro Book"/>
          <w:sz w:val="24"/>
          <w:szCs w:val="24"/>
        </w:rPr>
        <w:t xml:space="preserve">a mas de </w:t>
      </w:r>
      <w:r w:rsidR="00AE2ACC" w:rsidRPr="004A7569">
        <w:rPr>
          <w:rFonts w:ascii="Gill Sans MT Pro Book" w:hAnsi="Gill Sans MT Pro Book"/>
          <w:b/>
          <w:sz w:val="24"/>
          <w:szCs w:val="24"/>
        </w:rPr>
        <w:t>14</w:t>
      </w:r>
      <w:r w:rsidR="00AE2ACC" w:rsidRPr="004A7569">
        <w:rPr>
          <w:rFonts w:ascii="Gill Sans MT Pro Book" w:hAnsi="Gill Sans MT Pro Book"/>
          <w:sz w:val="24"/>
          <w:szCs w:val="24"/>
        </w:rPr>
        <w:t xml:space="preserve"> puntos en cualquier dirección se considera que el cambio es relevante. </w:t>
      </w:r>
    </w:p>
    <w:p w:rsidR="00AE2ACC" w:rsidRPr="004A7569" w:rsidRDefault="00AE2ACC" w:rsidP="004A7569">
      <w:pPr>
        <w:jc w:val="both"/>
        <w:rPr>
          <w:rFonts w:ascii="Gill Sans MT Pro Book" w:hAnsi="Gill Sans MT Pro Book"/>
          <w:sz w:val="24"/>
          <w:szCs w:val="24"/>
        </w:rPr>
      </w:pPr>
    </w:p>
    <w:p w:rsidR="00AE2ACC" w:rsidRPr="004A7569" w:rsidRDefault="00AE2ACC" w:rsidP="004A7569">
      <w:pPr>
        <w:pStyle w:val="Ttulo1"/>
        <w:jc w:val="both"/>
        <w:rPr>
          <w:rFonts w:ascii="Gill Sans MT Pro Book" w:hAnsi="Gill Sans MT Pro Book"/>
          <w:szCs w:val="24"/>
        </w:rPr>
      </w:pPr>
      <w:r w:rsidRPr="004A7569">
        <w:rPr>
          <w:rFonts w:ascii="Gill Sans MT Pro Book" w:hAnsi="Gill Sans MT Pro Book"/>
          <w:szCs w:val="24"/>
        </w:rPr>
        <w:t>3.- PUNTUACIONES DE LAS SUBESCALAS</w:t>
      </w:r>
    </w:p>
    <w:p w:rsidR="00AE2ACC" w:rsidRPr="004A7569" w:rsidRDefault="00AE2ACC" w:rsidP="004A7569">
      <w:pPr>
        <w:jc w:val="both"/>
        <w:rPr>
          <w:rFonts w:ascii="Gill Sans MT Pro Book" w:hAnsi="Gill Sans MT Pro Book"/>
          <w:sz w:val="24"/>
          <w:szCs w:val="24"/>
        </w:rPr>
      </w:pPr>
    </w:p>
    <w:p w:rsidR="00AE2ACC" w:rsidRPr="004A7569" w:rsidRDefault="00AE2ACC" w:rsidP="004A7569">
      <w:pPr>
        <w:pStyle w:val="Textoindependiente"/>
        <w:jc w:val="both"/>
        <w:rPr>
          <w:rFonts w:ascii="Gill Sans MT Pro Book" w:hAnsi="Gill Sans MT Pro Book"/>
          <w:szCs w:val="24"/>
        </w:rPr>
      </w:pPr>
      <w:r w:rsidRPr="004A7569">
        <w:rPr>
          <w:rFonts w:ascii="Gill Sans MT Pro Book" w:hAnsi="Gill Sans MT Pro Book"/>
          <w:szCs w:val="24"/>
        </w:rPr>
        <w:tab/>
        <w:t>El OQ-45 presenta 3 puntuaciones para 3 subescalas:</w:t>
      </w:r>
    </w:p>
    <w:p w:rsidR="00AE2ACC" w:rsidRPr="004A7569" w:rsidRDefault="00AE2ACC" w:rsidP="004A7569">
      <w:pPr>
        <w:pStyle w:val="Textoindependiente"/>
        <w:jc w:val="both"/>
        <w:rPr>
          <w:rFonts w:ascii="Gill Sans MT Pro Book" w:hAnsi="Gill Sans MT Pro Book"/>
          <w:szCs w:val="24"/>
        </w:rPr>
      </w:pPr>
    </w:p>
    <w:p w:rsidR="00AE2ACC" w:rsidRPr="004A7569" w:rsidRDefault="00AE2ACC" w:rsidP="004A7569">
      <w:pPr>
        <w:pStyle w:val="Textoindependiente"/>
        <w:ind w:left="708"/>
        <w:jc w:val="both"/>
        <w:rPr>
          <w:rFonts w:ascii="Gill Sans MT Pro Book" w:hAnsi="Gill Sans MT Pro Book"/>
          <w:szCs w:val="24"/>
        </w:rPr>
      </w:pPr>
      <w:r w:rsidRPr="004A7569">
        <w:rPr>
          <w:rFonts w:ascii="Gill Sans MT Pro Book" w:hAnsi="Gill Sans MT Pro Book"/>
          <w:szCs w:val="24"/>
        </w:rPr>
        <w:t xml:space="preserve">1.- La “incomodidad sintomática”, </w:t>
      </w:r>
    </w:p>
    <w:p w:rsidR="00AE2ACC" w:rsidRPr="004A7569" w:rsidRDefault="00AE2ACC" w:rsidP="004A7569">
      <w:pPr>
        <w:pStyle w:val="Textoindependiente"/>
        <w:ind w:left="708"/>
        <w:jc w:val="both"/>
        <w:rPr>
          <w:rFonts w:ascii="Gill Sans MT Pro Book" w:hAnsi="Gill Sans MT Pro Book"/>
          <w:szCs w:val="24"/>
        </w:rPr>
      </w:pPr>
      <w:r w:rsidRPr="004A7569">
        <w:rPr>
          <w:rFonts w:ascii="Gill Sans MT Pro Book" w:hAnsi="Gill Sans MT Pro Book"/>
          <w:szCs w:val="24"/>
        </w:rPr>
        <w:t xml:space="preserve">2.- Las relaciones interpersonales </w:t>
      </w:r>
    </w:p>
    <w:p w:rsidR="00AE2ACC" w:rsidRPr="004A7569" w:rsidRDefault="00AE2ACC" w:rsidP="004A7569">
      <w:pPr>
        <w:pStyle w:val="Textoindependiente"/>
        <w:ind w:left="708"/>
        <w:jc w:val="both"/>
        <w:rPr>
          <w:rFonts w:ascii="Gill Sans MT Pro Book" w:hAnsi="Gill Sans MT Pro Book"/>
          <w:szCs w:val="24"/>
        </w:rPr>
      </w:pPr>
      <w:r w:rsidRPr="004A7569">
        <w:rPr>
          <w:rFonts w:ascii="Gill Sans MT Pro Book" w:hAnsi="Gill Sans MT Pro Book"/>
          <w:szCs w:val="24"/>
        </w:rPr>
        <w:t>3.- El rol social.</w:t>
      </w:r>
    </w:p>
    <w:p w:rsidR="00AE2ACC" w:rsidRPr="004A7569" w:rsidRDefault="00AE2ACC" w:rsidP="004A7569">
      <w:pPr>
        <w:pStyle w:val="Textoindependiente"/>
        <w:jc w:val="both"/>
        <w:rPr>
          <w:rFonts w:ascii="Gill Sans MT Pro Book" w:hAnsi="Gill Sans MT Pro Book"/>
          <w:szCs w:val="24"/>
        </w:rPr>
      </w:pPr>
    </w:p>
    <w:p w:rsidR="00AE2ACC" w:rsidRPr="004A7569" w:rsidRDefault="00AE2ACC" w:rsidP="004A7569">
      <w:pPr>
        <w:pStyle w:val="Textoindependiente"/>
        <w:jc w:val="both"/>
        <w:rPr>
          <w:rFonts w:ascii="Gill Sans MT Pro Book" w:hAnsi="Gill Sans MT Pro Book"/>
          <w:szCs w:val="24"/>
        </w:rPr>
      </w:pPr>
      <w:r w:rsidRPr="004A7569">
        <w:rPr>
          <w:rFonts w:ascii="Gill Sans MT Pro Book" w:hAnsi="Gill Sans MT Pro Book"/>
          <w:szCs w:val="24"/>
        </w:rPr>
        <w:t>No es posible que un paciente que tiene una puntuación total elevada no obtenga también una puntuación elevada en las subescalas;  del mismo modo, una puntuación total baja no significa que el paciente no presenta problemas en una o más de las subescalas.</w:t>
      </w:r>
    </w:p>
    <w:p w:rsidR="001D1DFB" w:rsidRPr="004A7569" w:rsidRDefault="001D1DFB" w:rsidP="004A7569">
      <w:pPr>
        <w:pStyle w:val="Textoindependiente"/>
        <w:jc w:val="both"/>
        <w:rPr>
          <w:rFonts w:ascii="Gill Sans MT Pro Book" w:hAnsi="Gill Sans MT Pro Book"/>
          <w:szCs w:val="24"/>
        </w:rPr>
      </w:pPr>
    </w:p>
    <w:p w:rsidR="001D1DFB" w:rsidRPr="004A7569" w:rsidRDefault="001D1DFB" w:rsidP="004A7569">
      <w:pPr>
        <w:pStyle w:val="Textoindependiente"/>
        <w:jc w:val="both"/>
        <w:rPr>
          <w:rFonts w:ascii="Gill Sans MT Pro Book" w:hAnsi="Gill Sans MT Pro Book"/>
          <w:szCs w:val="24"/>
        </w:rPr>
      </w:pPr>
    </w:p>
    <w:p w:rsidR="001D1DFB" w:rsidRPr="004A7569" w:rsidRDefault="001D1DFB" w:rsidP="004A7569">
      <w:pPr>
        <w:pStyle w:val="Textoindependiente"/>
        <w:jc w:val="both"/>
        <w:rPr>
          <w:rFonts w:ascii="Gill Sans MT Pro Book" w:hAnsi="Gill Sans MT Pro Book"/>
          <w:szCs w:val="24"/>
        </w:rPr>
      </w:pPr>
    </w:p>
    <w:p w:rsidR="001D1DFB" w:rsidRPr="004A7569" w:rsidRDefault="001D1DFB" w:rsidP="004A7569">
      <w:pPr>
        <w:pStyle w:val="Textoindependiente"/>
        <w:jc w:val="both"/>
        <w:rPr>
          <w:rFonts w:ascii="Gill Sans MT Pro Book" w:hAnsi="Gill Sans MT Pro Book"/>
          <w:szCs w:val="24"/>
        </w:rPr>
      </w:pPr>
    </w:p>
    <w:p w:rsidR="001D1DFB" w:rsidRPr="004A7569" w:rsidRDefault="001D1DFB" w:rsidP="004A7569">
      <w:pPr>
        <w:pStyle w:val="Textoindependiente"/>
        <w:jc w:val="both"/>
        <w:rPr>
          <w:rFonts w:ascii="Gill Sans MT Pro Book" w:hAnsi="Gill Sans MT Pro Book"/>
          <w:szCs w:val="24"/>
        </w:rPr>
      </w:pPr>
    </w:p>
    <w:p w:rsidR="001D1DFB" w:rsidRPr="004A7569" w:rsidRDefault="001D1DFB" w:rsidP="004A7569">
      <w:pPr>
        <w:pStyle w:val="Textoindependiente"/>
        <w:jc w:val="both"/>
        <w:rPr>
          <w:rFonts w:ascii="Gill Sans MT Pro Book" w:hAnsi="Gill Sans MT Pro Book"/>
          <w:szCs w:val="24"/>
        </w:rPr>
      </w:pPr>
    </w:p>
    <w:p w:rsidR="001D1DFB" w:rsidRPr="004A7569" w:rsidRDefault="001D1DFB" w:rsidP="004A7569">
      <w:pPr>
        <w:pStyle w:val="Textoindependiente"/>
        <w:jc w:val="both"/>
        <w:rPr>
          <w:rFonts w:ascii="Gill Sans MT Pro Book" w:hAnsi="Gill Sans MT Pro Book"/>
          <w:szCs w:val="24"/>
        </w:rPr>
      </w:pPr>
    </w:p>
    <w:p w:rsidR="001D1DFB" w:rsidRPr="004A7569" w:rsidRDefault="001D1DFB" w:rsidP="004A7569">
      <w:pPr>
        <w:pStyle w:val="Textoindependiente"/>
        <w:jc w:val="both"/>
        <w:rPr>
          <w:rFonts w:ascii="Gill Sans MT Pro Book" w:hAnsi="Gill Sans MT Pro Book"/>
          <w:szCs w:val="24"/>
        </w:rPr>
      </w:pPr>
    </w:p>
    <w:p w:rsidR="00AE2ACC" w:rsidRPr="004A7569" w:rsidRDefault="00AE2ACC" w:rsidP="004A7569">
      <w:pPr>
        <w:pStyle w:val="Ttulo1"/>
        <w:jc w:val="both"/>
        <w:rPr>
          <w:rFonts w:ascii="Gill Sans MT Pro Book" w:hAnsi="Gill Sans MT Pro Book"/>
          <w:szCs w:val="24"/>
        </w:rPr>
      </w:pPr>
      <w:r w:rsidRPr="004A7569">
        <w:rPr>
          <w:rFonts w:ascii="Gill Sans MT Pro Book" w:hAnsi="Gill Sans MT Pro Book"/>
          <w:szCs w:val="24"/>
        </w:rPr>
        <w:tab/>
      </w:r>
      <w:r w:rsidRPr="004A7569">
        <w:rPr>
          <w:rFonts w:ascii="Gill Sans MT Pro Book" w:hAnsi="Gill Sans MT Pro Book"/>
          <w:szCs w:val="24"/>
        </w:rPr>
        <w:tab/>
        <w:t>a.-  Incomodidad somática.</w:t>
      </w:r>
    </w:p>
    <w:p w:rsidR="00AE2ACC" w:rsidRPr="004A7569" w:rsidRDefault="00AE2ACC" w:rsidP="004A7569">
      <w:pPr>
        <w:pStyle w:val="Ttulo1"/>
        <w:jc w:val="both"/>
        <w:rPr>
          <w:rFonts w:ascii="Gill Sans MT Pro Book" w:hAnsi="Gill Sans MT Pro Book"/>
          <w:szCs w:val="24"/>
        </w:rPr>
      </w:pPr>
    </w:p>
    <w:p w:rsidR="00AE2ACC" w:rsidRPr="004A7569" w:rsidRDefault="00AE2ACC" w:rsidP="004A7569">
      <w:pPr>
        <w:pStyle w:val="Ttulo1"/>
        <w:ind w:left="0" w:firstLine="0"/>
        <w:jc w:val="both"/>
        <w:rPr>
          <w:rFonts w:ascii="Gill Sans MT Pro Book" w:hAnsi="Gill Sans MT Pro Book"/>
          <w:b w:val="0"/>
          <w:szCs w:val="24"/>
        </w:rPr>
      </w:pPr>
      <w:r w:rsidRPr="004A7569">
        <w:rPr>
          <w:rFonts w:ascii="Gill Sans MT Pro Book" w:hAnsi="Gill Sans MT Pro Book"/>
          <w:b w:val="0"/>
          <w:szCs w:val="24"/>
        </w:rPr>
        <w:t xml:space="preserve">Los síntomas más comunes son de ansiedad, afectivos, adaptativos y de estrés. Una puntuación elevada indica que el paciente está preocupado por estos síntomas, mientras que puntuaciones bajas indican la ausencia o negación de los síntomas. El punto de corte en esta subescala se establece en </w:t>
      </w:r>
      <w:r w:rsidRPr="004A7569">
        <w:rPr>
          <w:rFonts w:ascii="Gill Sans MT Pro Book" w:hAnsi="Gill Sans MT Pro Book"/>
          <w:szCs w:val="24"/>
        </w:rPr>
        <w:t>36</w:t>
      </w:r>
      <w:r w:rsidRPr="004A7569">
        <w:rPr>
          <w:rFonts w:ascii="Gill Sans MT Pro Book" w:hAnsi="Gill Sans MT Pro Book"/>
          <w:b w:val="0"/>
          <w:szCs w:val="24"/>
        </w:rPr>
        <w:t xml:space="preserve"> por lo que cualquier puntuación superior a esta significa la presencia de síntomas. </w:t>
      </w:r>
    </w:p>
    <w:p w:rsidR="00AE2ACC" w:rsidRPr="004A7569" w:rsidRDefault="00AE2ACC" w:rsidP="004A7569">
      <w:pPr>
        <w:pStyle w:val="Ttulo1"/>
        <w:ind w:left="0" w:firstLine="0"/>
        <w:jc w:val="both"/>
        <w:rPr>
          <w:rFonts w:ascii="Gill Sans MT Pro Book" w:hAnsi="Gill Sans MT Pro Book"/>
          <w:b w:val="0"/>
          <w:szCs w:val="24"/>
        </w:rPr>
      </w:pPr>
    </w:p>
    <w:p w:rsidR="00AE2ACC" w:rsidRPr="004A7569" w:rsidRDefault="00AE2ACC" w:rsidP="004A7569">
      <w:pPr>
        <w:pStyle w:val="Ttulo1"/>
        <w:ind w:left="0" w:firstLine="0"/>
        <w:jc w:val="both"/>
        <w:rPr>
          <w:rFonts w:ascii="Gill Sans MT Pro Book" w:hAnsi="Gill Sans MT Pro Book"/>
          <w:b w:val="0"/>
          <w:szCs w:val="24"/>
        </w:rPr>
      </w:pPr>
      <w:r w:rsidRPr="004A7569">
        <w:rPr>
          <w:rFonts w:ascii="Gill Sans MT Pro Book" w:hAnsi="Gill Sans MT Pro Book"/>
          <w:b w:val="0"/>
          <w:szCs w:val="24"/>
        </w:rPr>
        <w:t>Además, se considera que el paciente ha experimentado un camb</w:t>
      </w:r>
      <w:r w:rsidR="004A7569">
        <w:rPr>
          <w:rFonts w:ascii="Gill Sans MT Pro Book" w:hAnsi="Gill Sans MT Pro Book"/>
          <w:b w:val="0"/>
          <w:szCs w:val="24"/>
        </w:rPr>
        <w:t>io relevante cuando su puntuación varí</w:t>
      </w:r>
      <w:r w:rsidRPr="004A7569">
        <w:rPr>
          <w:rFonts w:ascii="Gill Sans MT Pro Book" w:hAnsi="Gill Sans MT Pro Book"/>
          <w:b w:val="0"/>
          <w:szCs w:val="24"/>
        </w:rPr>
        <w:t xml:space="preserve">a en una proporción  superior  a </w:t>
      </w:r>
      <w:r w:rsidRPr="004A7569">
        <w:rPr>
          <w:rFonts w:ascii="Gill Sans MT Pro Book" w:hAnsi="Gill Sans MT Pro Book"/>
          <w:szCs w:val="24"/>
        </w:rPr>
        <w:t>10</w:t>
      </w:r>
      <w:r w:rsidRPr="004A7569">
        <w:rPr>
          <w:rFonts w:ascii="Gill Sans MT Pro Book" w:hAnsi="Gill Sans MT Pro Book"/>
          <w:b w:val="0"/>
          <w:szCs w:val="24"/>
        </w:rPr>
        <w:t xml:space="preserve"> puntos.</w:t>
      </w:r>
    </w:p>
    <w:p w:rsidR="00AE2ACC" w:rsidRPr="004A7569" w:rsidRDefault="00AE2ACC" w:rsidP="004A7569">
      <w:pPr>
        <w:jc w:val="both"/>
        <w:rPr>
          <w:rFonts w:ascii="Gill Sans MT Pro Book" w:hAnsi="Gill Sans MT Pro Book"/>
          <w:sz w:val="24"/>
          <w:szCs w:val="24"/>
        </w:rPr>
      </w:pPr>
    </w:p>
    <w:p w:rsidR="00AE2ACC" w:rsidRPr="004A7569" w:rsidRDefault="00AE2ACC" w:rsidP="004A7569">
      <w:pPr>
        <w:jc w:val="both"/>
        <w:rPr>
          <w:rFonts w:ascii="Gill Sans MT Pro Book" w:hAnsi="Gill Sans MT Pro Book"/>
          <w:sz w:val="24"/>
          <w:szCs w:val="24"/>
        </w:rPr>
      </w:pPr>
    </w:p>
    <w:p w:rsidR="004A7569" w:rsidRDefault="00AE2ACC" w:rsidP="004A7569">
      <w:pPr>
        <w:pStyle w:val="Ttulo1"/>
        <w:jc w:val="both"/>
      </w:pPr>
      <w:r w:rsidRPr="004A7569">
        <w:tab/>
        <w:t xml:space="preserve">b. Subescala de las relaciones interpersonales </w:t>
      </w:r>
    </w:p>
    <w:p w:rsidR="004A7569" w:rsidRDefault="004A7569" w:rsidP="004A7569">
      <w:pPr>
        <w:pStyle w:val="Ttulo1"/>
        <w:jc w:val="both"/>
      </w:pPr>
    </w:p>
    <w:p w:rsidR="004A7569" w:rsidRPr="004A7569" w:rsidRDefault="00AE2ACC" w:rsidP="004A7569">
      <w:pPr>
        <w:pStyle w:val="Ttulo1"/>
        <w:tabs>
          <w:tab w:val="clear" w:pos="432"/>
          <w:tab w:val="left" w:pos="0"/>
        </w:tabs>
        <w:ind w:left="0" w:firstLine="0"/>
        <w:jc w:val="both"/>
        <w:rPr>
          <w:rFonts w:ascii="Gill Sans MT Pro Book" w:hAnsi="Gill Sans MT Pro Book"/>
          <w:b w:val="0"/>
        </w:rPr>
      </w:pPr>
      <w:r w:rsidRPr="004A7569">
        <w:rPr>
          <w:rFonts w:ascii="Gill Sans MT Pro Book" w:hAnsi="Gill Sans MT Pro Book"/>
          <w:b w:val="0"/>
        </w:rPr>
        <w:t xml:space="preserve">Muchos pacientes se quejan de experimentar </w:t>
      </w:r>
      <w:r w:rsidR="004A7569" w:rsidRPr="004A7569">
        <w:rPr>
          <w:rFonts w:ascii="Gill Sans MT Pro Book" w:hAnsi="Gill Sans MT Pro Book"/>
          <w:b w:val="0"/>
        </w:rPr>
        <w:t xml:space="preserve"> dificultades en sus relaciones </w:t>
      </w:r>
      <w:r w:rsidRPr="004A7569">
        <w:rPr>
          <w:rFonts w:ascii="Gill Sans MT Pro Book" w:hAnsi="Gill Sans MT Pro Book"/>
          <w:b w:val="0"/>
        </w:rPr>
        <w:t>interpersonales, también de soledad, conflictos con otros, problemas familiares o de pareja.</w:t>
      </w:r>
    </w:p>
    <w:p w:rsidR="004A7569" w:rsidRPr="004A7569" w:rsidRDefault="004A7569" w:rsidP="004A7569">
      <w:pPr>
        <w:pStyle w:val="Ttulo1"/>
        <w:tabs>
          <w:tab w:val="clear" w:pos="432"/>
          <w:tab w:val="left" w:pos="0"/>
        </w:tabs>
        <w:ind w:left="0" w:firstLine="0"/>
        <w:jc w:val="both"/>
        <w:rPr>
          <w:rFonts w:ascii="Gill Sans MT Pro Book" w:hAnsi="Gill Sans MT Pro Book"/>
          <w:b w:val="0"/>
        </w:rPr>
      </w:pPr>
    </w:p>
    <w:p w:rsidR="004A7569" w:rsidRPr="004A7569" w:rsidRDefault="00AE2ACC" w:rsidP="004A7569">
      <w:pPr>
        <w:pStyle w:val="Ttulo1"/>
        <w:tabs>
          <w:tab w:val="clear" w:pos="432"/>
          <w:tab w:val="left" w:pos="0"/>
        </w:tabs>
        <w:ind w:left="0" w:firstLine="0"/>
        <w:jc w:val="both"/>
        <w:rPr>
          <w:rFonts w:ascii="Gill Sans MT Pro Book" w:hAnsi="Gill Sans MT Pro Book"/>
          <w:b w:val="0"/>
        </w:rPr>
      </w:pPr>
      <w:r w:rsidRPr="004A7569">
        <w:rPr>
          <w:rFonts w:ascii="Gill Sans MT Pro Book" w:hAnsi="Gill Sans MT Pro Book"/>
          <w:b w:val="0"/>
        </w:rPr>
        <w:t xml:space="preserve">Puntuaciones elevadas sugieren dificultades en esas áreas, mientras que puntuaciones bajas sugieren la ausencia de problemas interpersonales y la satisfacción con la calidad de las relaciones íntimas. En esta subescala el punto de corte se establece en 15 por lo que cualquier puntuación superior indica la presencia de sintomatología. </w:t>
      </w:r>
    </w:p>
    <w:p w:rsidR="004A7569" w:rsidRPr="004A7569" w:rsidRDefault="004A7569" w:rsidP="004A7569">
      <w:pPr>
        <w:pStyle w:val="Ttulo1"/>
        <w:tabs>
          <w:tab w:val="clear" w:pos="432"/>
          <w:tab w:val="left" w:pos="0"/>
        </w:tabs>
        <w:ind w:left="0" w:firstLine="0"/>
        <w:jc w:val="both"/>
        <w:rPr>
          <w:rFonts w:ascii="Gill Sans MT Pro Book" w:hAnsi="Gill Sans MT Pro Book"/>
          <w:b w:val="0"/>
        </w:rPr>
      </w:pPr>
    </w:p>
    <w:p w:rsidR="00AE2ACC" w:rsidRPr="004A7569" w:rsidRDefault="004A7569" w:rsidP="004A7569">
      <w:pPr>
        <w:pStyle w:val="Ttulo1"/>
        <w:tabs>
          <w:tab w:val="clear" w:pos="432"/>
          <w:tab w:val="left" w:pos="0"/>
        </w:tabs>
        <w:ind w:left="0" w:firstLine="0"/>
        <w:jc w:val="both"/>
        <w:rPr>
          <w:rFonts w:ascii="Gill Sans MT Pro Book" w:hAnsi="Gill Sans MT Pro Book"/>
          <w:b w:val="0"/>
          <w:szCs w:val="24"/>
        </w:rPr>
      </w:pPr>
      <w:r>
        <w:rPr>
          <w:rFonts w:ascii="Gill Sans MT Pro Book" w:hAnsi="Gill Sans MT Pro Book"/>
          <w:b w:val="0"/>
        </w:rPr>
        <w:t>Asi</w:t>
      </w:r>
      <w:r w:rsidR="00AE2ACC" w:rsidRPr="004A7569">
        <w:rPr>
          <w:rFonts w:ascii="Gill Sans MT Pro Book" w:hAnsi="Gill Sans MT Pro Book"/>
          <w:b w:val="0"/>
        </w:rPr>
        <w:t xml:space="preserve">mismo, se considera que el paciente ha experimentado un cambio significativo en </w:t>
      </w:r>
      <w:r>
        <w:rPr>
          <w:rFonts w:ascii="Gill Sans MT Pro Book" w:hAnsi="Gill Sans MT Pro Book"/>
          <w:b w:val="0"/>
        </w:rPr>
        <w:t>dicha escala cuando su puntuació</w:t>
      </w:r>
      <w:r w:rsidR="00AE2ACC" w:rsidRPr="004A7569">
        <w:rPr>
          <w:rFonts w:ascii="Gill Sans MT Pro Book" w:hAnsi="Gill Sans MT Pro Book"/>
          <w:b w:val="0"/>
        </w:rPr>
        <w:t>n pretes</w:t>
      </w:r>
      <w:r>
        <w:rPr>
          <w:rFonts w:ascii="Gill Sans MT Pro Book" w:hAnsi="Gill Sans MT Pro Book"/>
          <w:b w:val="0"/>
        </w:rPr>
        <w:t>t-</w:t>
      </w:r>
      <w:r w:rsidR="00AE2ACC" w:rsidRPr="004A7569">
        <w:rPr>
          <w:rFonts w:ascii="Gill Sans MT Pro Book" w:hAnsi="Gill Sans MT Pro Book"/>
          <w:b w:val="0"/>
        </w:rPr>
        <w:t xml:space="preserve">postest  supera los 8 puntos. </w:t>
      </w:r>
    </w:p>
    <w:p w:rsidR="00AE2ACC" w:rsidRPr="004A7569" w:rsidRDefault="00AE2ACC" w:rsidP="004A7569">
      <w:pPr>
        <w:ind w:firstLine="432"/>
        <w:jc w:val="both"/>
        <w:rPr>
          <w:rFonts w:ascii="Gill Sans MT Pro Book" w:hAnsi="Gill Sans MT Pro Book"/>
          <w:sz w:val="24"/>
          <w:szCs w:val="24"/>
        </w:rPr>
      </w:pPr>
    </w:p>
    <w:p w:rsidR="00AE2ACC" w:rsidRPr="004A7569" w:rsidRDefault="00AE2ACC" w:rsidP="004A7569">
      <w:pPr>
        <w:ind w:firstLine="432"/>
        <w:jc w:val="both"/>
        <w:rPr>
          <w:rFonts w:ascii="Gill Sans MT Pro Book" w:hAnsi="Gill Sans MT Pro Book"/>
          <w:sz w:val="24"/>
          <w:szCs w:val="24"/>
        </w:rPr>
      </w:pPr>
    </w:p>
    <w:p w:rsidR="00AE2ACC" w:rsidRPr="004A7569" w:rsidRDefault="00AE2ACC" w:rsidP="004A7569">
      <w:pPr>
        <w:pStyle w:val="Ttulo1"/>
        <w:jc w:val="both"/>
        <w:rPr>
          <w:rFonts w:ascii="Gill Sans MT Pro Book" w:hAnsi="Gill Sans MT Pro Book"/>
          <w:szCs w:val="24"/>
        </w:rPr>
      </w:pPr>
      <w:r w:rsidRPr="004A7569">
        <w:rPr>
          <w:rFonts w:ascii="Gill Sans MT Pro Book" w:hAnsi="Gill Sans MT Pro Book"/>
          <w:szCs w:val="24"/>
        </w:rPr>
        <w:tab/>
        <w:t>C. Subescala del rol social</w:t>
      </w:r>
    </w:p>
    <w:p w:rsidR="00AE2ACC" w:rsidRPr="004A7569" w:rsidRDefault="00AE2ACC" w:rsidP="004A7569">
      <w:pPr>
        <w:jc w:val="both"/>
        <w:rPr>
          <w:rFonts w:ascii="Gill Sans MT Pro Book" w:hAnsi="Gill Sans MT Pro Book"/>
          <w:sz w:val="24"/>
          <w:szCs w:val="24"/>
        </w:rPr>
      </w:pPr>
    </w:p>
    <w:p w:rsidR="00AE2ACC" w:rsidRPr="004A7569" w:rsidRDefault="00AE2ACC" w:rsidP="004A7569">
      <w:pPr>
        <w:jc w:val="both"/>
        <w:rPr>
          <w:rFonts w:ascii="Gill Sans MT Pro Book" w:hAnsi="Gill Sans MT Pro Book"/>
          <w:sz w:val="24"/>
          <w:szCs w:val="24"/>
        </w:rPr>
      </w:pPr>
    </w:p>
    <w:p w:rsidR="00AE2ACC" w:rsidRPr="004A7569" w:rsidRDefault="00AE2ACC" w:rsidP="004A7569">
      <w:pPr>
        <w:pStyle w:val="Textoindependiente"/>
        <w:jc w:val="both"/>
        <w:rPr>
          <w:rFonts w:ascii="Gill Sans MT Pro Book" w:hAnsi="Gill Sans MT Pro Book"/>
          <w:szCs w:val="24"/>
        </w:rPr>
      </w:pPr>
      <w:r w:rsidRPr="004A7569">
        <w:rPr>
          <w:rFonts w:ascii="Gill Sans MT Pro Book" w:hAnsi="Gill Sans MT Pro Book"/>
          <w:szCs w:val="24"/>
        </w:rPr>
        <w:t xml:space="preserve">Los problemas de los pacientes se pueden extender también a su sensación subjetiva de de incomodidad y escaso rendimiento en aquellos comportamientos de los </w:t>
      </w:r>
      <w:r w:rsidRPr="004A7569">
        <w:rPr>
          <w:rFonts w:ascii="Gill Sans MT Pro Book" w:hAnsi="Gill Sans MT Pro Book"/>
          <w:szCs w:val="24"/>
        </w:rPr>
        <w:lastRenderedPageBreak/>
        <w:t>adultos en la sociedad: trabajo,  casa, estrés o ineficacia en estos roles son síntomas habituales.</w:t>
      </w:r>
    </w:p>
    <w:p w:rsidR="00AE2ACC" w:rsidRPr="004A7569" w:rsidRDefault="00AE2ACC" w:rsidP="004A7569">
      <w:pPr>
        <w:jc w:val="both"/>
        <w:rPr>
          <w:rFonts w:ascii="Gill Sans MT Pro Book" w:hAnsi="Gill Sans MT Pro Book"/>
          <w:sz w:val="24"/>
          <w:szCs w:val="24"/>
        </w:rPr>
      </w:pPr>
    </w:p>
    <w:p w:rsidR="00AE2ACC" w:rsidRPr="004A7569" w:rsidRDefault="00AE2ACC" w:rsidP="004A7569">
      <w:pPr>
        <w:jc w:val="both"/>
        <w:rPr>
          <w:rFonts w:ascii="Gill Sans MT Pro Book" w:hAnsi="Gill Sans MT Pro Book"/>
          <w:sz w:val="24"/>
          <w:szCs w:val="24"/>
        </w:rPr>
      </w:pPr>
      <w:r w:rsidRPr="004A7569">
        <w:rPr>
          <w:rFonts w:ascii="Gill Sans MT Pro Book" w:hAnsi="Gill Sans MT Pro Book"/>
          <w:sz w:val="24"/>
          <w:szCs w:val="24"/>
        </w:rPr>
        <w:t xml:space="preserve">El punto de corte en esta subescala se establece en </w:t>
      </w:r>
      <w:r w:rsidRPr="004A7569">
        <w:rPr>
          <w:rFonts w:ascii="Gill Sans MT Pro Book" w:hAnsi="Gill Sans MT Pro Book"/>
          <w:b/>
          <w:sz w:val="24"/>
          <w:szCs w:val="24"/>
        </w:rPr>
        <w:t xml:space="preserve">12 </w:t>
      </w:r>
      <w:r w:rsidRPr="004A7569">
        <w:rPr>
          <w:rFonts w:ascii="Gill Sans MT Pro Book" w:hAnsi="Gill Sans MT Pro Book"/>
          <w:sz w:val="24"/>
          <w:szCs w:val="24"/>
        </w:rPr>
        <w:t>por lo que cualquier puntuación superior indica la p</w:t>
      </w:r>
      <w:r w:rsidR="004A7569">
        <w:rPr>
          <w:rFonts w:ascii="Gill Sans MT Pro Book" w:hAnsi="Gill Sans MT Pro Book"/>
          <w:sz w:val="24"/>
          <w:szCs w:val="24"/>
        </w:rPr>
        <w:t>r</w:t>
      </w:r>
      <w:r w:rsidRPr="004A7569">
        <w:rPr>
          <w:rFonts w:ascii="Gill Sans MT Pro Book" w:hAnsi="Gill Sans MT Pro Book"/>
          <w:sz w:val="24"/>
          <w:szCs w:val="24"/>
        </w:rPr>
        <w:t>esencia de sintomatología. Además, se considera que el paciente ha experimentado un cambio significativo en esta escala cuando su puntuación pretest-poste</w:t>
      </w:r>
      <w:r w:rsidR="004A7569">
        <w:rPr>
          <w:rFonts w:ascii="Gill Sans MT Pro Book" w:hAnsi="Gill Sans MT Pro Book"/>
          <w:sz w:val="24"/>
          <w:szCs w:val="24"/>
        </w:rPr>
        <w:t>s</w:t>
      </w:r>
      <w:r w:rsidRPr="004A7569">
        <w:rPr>
          <w:rFonts w:ascii="Gill Sans MT Pro Book" w:hAnsi="Gill Sans MT Pro Book"/>
          <w:sz w:val="24"/>
          <w:szCs w:val="24"/>
        </w:rPr>
        <w:t xml:space="preserve">t supera los </w:t>
      </w:r>
      <w:r w:rsidRPr="004A7569">
        <w:rPr>
          <w:rFonts w:ascii="Gill Sans MT Pro Book" w:hAnsi="Gill Sans MT Pro Book"/>
          <w:b/>
          <w:sz w:val="24"/>
          <w:szCs w:val="24"/>
        </w:rPr>
        <w:t xml:space="preserve">7 </w:t>
      </w:r>
      <w:r w:rsidRPr="004A7569">
        <w:rPr>
          <w:rFonts w:ascii="Gill Sans MT Pro Book" w:hAnsi="Gill Sans MT Pro Book"/>
          <w:sz w:val="24"/>
          <w:szCs w:val="24"/>
        </w:rPr>
        <w:t>puntos.</w:t>
      </w:r>
    </w:p>
    <w:p w:rsidR="00AE2ACC" w:rsidRPr="004A7569" w:rsidRDefault="00AE2ACC" w:rsidP="004A7569">
      <w:pPr>
        <w:jc w:val="both"/>
        <w:rPr>
          <w:rFonts w:ascii="Gill Sans MT Pro Book" w:hAnsi="Gill Sans MT Pro Book"/>
          <w:sz w:val="24"/>
          <w:szCs w:val="24"/>
        </w:rPr>
      </w:pPr>
    </w:p>
    <w:p w:rsidR="00AE2ACC" w:rsidRPr="004A7569" w:rsidRDefault="00AE2ACC" w:rsidP="004A7569">
      <w:pPr>
        <w:jc w:val="both"/>
        <w:rPr>
          <w:rFonts w:ascii="Gill Sans MT Pro Book" w:hAnsi="Gill Sans MT Pro Book"/>
          <w:b/>
          <w:sz w:val="24"/>
          <w:szCs w:val="24"/>
        </w:rPr>
      </w:pPr>
    </w:p>
    <w:p w:rsidR="00AE2ACC" w:rsidRPr="004A7569" w:rsidRDefault="00AE2ACC" w:rsidP="004A7569">
      <w:pPr>
        <w:jc w:val="both"/>
        <w:rPr>
          <w:rFonts w:ascii="Gill Sans MT Pro Book" w:hAnsi="Gill Sans MT Pro Book"/>
          <w:b/>
          <w:sz w:val="24"/>
          <w:szCs w:val="24"/>
        </w:rPr>
      </w:pPr>
    </w:p>
    <w:p w:rsidR="00AE2ACC" w:rsidRPr="004A7569" w:rsidRDefault="00AE2ACC" w:rsidP="004A7569">
      <w:pPr>
        <w:jc w:val="both"/>
        <w:rPr>
          <w:rFonts w:ascii="Gill Sans MT Pro Book" w:hAnsi="Gill Sans MT Pro Book"/>
          <w:b/>
          <w:sz w:val="24"/>
          <w:szCs w:val="24"/>
        </w:rPr>
      </w:pPr>
    </w:p>
    <w:p w:rsidR="00AE2ACC" w:rsidRPr="004A7569" w:rsidRDefault="00AE2ACC" w:rsidP="004A7569">
      <w:pPr>
        <w:jc w:val="both"/>
        <w:rPr>
          <w:rFonts w:ascii="Gill Sans MT Pro Book" w:hAnsi="Gill Sans MT Pro Book"/>
          <w:b/>
          <w:sz w:val="24"/>
          <w:szCs w:val="24"/>
        </w:rPr>
      </w:pPr>
    </w:p>
    <w:sectPr w:rsidR="00AE2ACC" w:rsidRPr="004A7569" w:rsidSect="00A2620F">
      <w:headerReference w:type="default" r:id="rId6"/>
      <w:footerReference w:type="default" r:id="rId7"/>
      <w:pgSz w:w="11906" w:h="16838" w:code="9"/>
      <w:pgMar w:top="1418" w:right="1418" w:bottom="1361" w:left="1418" w:header="720" w:footer="720" w:gutter="0"/>
      <w:cols w:space="720"/>
      <w:vAlign w:val="center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E22" w:rsidRDefault="00056E22">
      <w:r>
        <w:separator/>
      </w:r>
    </w:p>
  </w:endnote>
  <w:endnote w:type="continuationSeparator" w:id="0">
    <w:p w:rsidR="00056E22" w:rsidRDefault="00056E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 Pro Book">
    <w:altName w:val="Segoe UI"/>
    <w:panose1 w:val="00000000000000000000"/>
    <w:charset w:val="00"/>
    <w:family w:val="swiss"/>
    <w:notTrueType/>
    <w:pitch w:val="variable"/>
    <w:sig w:usb0="00000001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569" w:rsidRDefault="004A7569" w:rsidP="004A7569">
    <w:pPr>
      <w:rPr>
        <w:rFonts w:ascii="Gill Sans MT Pro Book" w:hAnsi="Gill Sans MT Pro Book"/>
      </w:rPr>
    </w:pPr>
  </w:p>
  <w:p w:rsidR="004A7569" w:rsidRDefault="004A7569" w:rsidP="004A7569">
    <w:pPr>
      <w:pBdr>
        <w:top w:val="single" w:sz="4" w:space="1" w:color="auto"/>
      </w:pBdr>
      <w:jc w:val="center"/>
      <w:rPr>
        <w:rFonts w:ascii="Gill Sans MT Pro Book" w:hAnsi="Gill Sans MT Pro Book"/>
        <w:b/>
        <w:sz w:val="18"/>
        <w:szCs w:val="18"/>
      </w:rPr>
    </w:pPr>
    <w:r>
      <w:rPr>
        <w:rFonts w:ascii="Gill Sans MT Pro Book" w:hAnsi="Gill Sans MT Pro Book"/>
        <w:b/>
        <w:sz w:val="18"/>
        <w:szCs w:val="18"/>
      </w:rPr>
      <w:t>Plaza del Cuadro 3, 3º B y C Santander 39004</w:t>
    </w:r>
  </w:p>
  <w:p w:rsidR="004A7569" w:rsidRDefault="004A7569" w:rsidP="004A7569">
    <w:pPr>
      <w:jc w:val="center"/>
      <w:rPr>
        <w:rFonts w:ascii="Gill Sans MT Pro Book" w:hAnsi="Gill Sans MT Pro Book"/>
        <w:b/>
        <w:sz w:val="18"/>
        <w:szCs w:val="18"/>
      </w:rPr>
    </w:pPr>
    <w:r>
      <w:rPr>
        <w:rFonts w:ascii="Gill Sans MT Pro Book" w:hAnsi="Gill Sans MT Pro Book"/>
        <w:b/>
        <w:sz w:val="18"/>
        <w:szCs w:val="18"/>
      </w:rPr>
      <w:t>Telf.: 902 39 00 01 Fax.: 942 22 38 94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E22" w:rsidRDefault="00056E22">
      <w:r>
        <w:separator/>
      </w:r>
    </w:p>
  </w:footnote>
  <w:footnote w:type="continuationSeparator" w:id="0">
    <w:p w:rsidR="00056E22" w:rsidRDefault="00056E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104" w:rsidRDefault="00CF6248">
    <w:pPr>
      <w:pStyle w:val="Encabezado"/>
    </w:pPr>
    <w:r>
      <w:rPr>
        <w:noProof/>
        <w:lang w:val="es-CL" w:eastAsia="es-CL"/>
      </w:rPr>
      <w:drawing>
        <wp:inline distT="0" distB="0" distL="0" distR="0">
          <wp:extent cx="5829300" cy="685800"/>
          <wp:effectExtent l="19050" t="0" r="0" b="0"/>
          <wp:docPr id="1" name="Imagen 1" descr="logo Fundac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Fundacio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mirrorMargin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2620F"/>
    <w:rsid w:val="00056E22"/>
    <w:rsid w:val="001D1DFB"/>
    <w:rsid w:val="003A4EF0"/>
    <w:rsid w:val="004A7569"/>
    <w:rsid w:val="00941104"/>
    <w:rsid w:val="00A2620F"/>
    <w:rsid w:val="00AE2ACC"/>
    <w:rsid w:val="00CF6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432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" w:hanging="432"/>
      <w:outlineLvl w:val="0"/>
    </w:pPr>
    <w:rPr>
      <w:b/>
      <w:sz w:val="24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24"/>
      <w:lang w:val="en-U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i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sz w:val="24"/>
    </w:rPr>
  </w:style>
  <w:style w:type="paragraph" w:styleId="Encabezado">
    <w:name w:val="header"/>
    <w:basedOn w:val="Normal"/>
    <w:rsid w:val="00A2620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620F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INTERPRETACIÓN</vt:lpstr>
    </vt:vector>
  </TitlesOfParts>
  <Company>USUARIO</Company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INTERPRETACIÓN</dc:title>
  <dc:creator>USUARIO</dc:creator>
  <cp:lastModifiedBy>Fratta</cp:lastModifiedBy>
  <cp:revision>2</cp:revision>
  <cp:lastPrinted>2001-02-12T16:39:00Z</cp:lastPrinted>
  <dcterms:created xsi:type="dcterms:W3CDTF">2010-12-30T02:00:00Z</dcterms:created>
  <dcterms:modified xsi:type="dcterms:W3CDTF">2010-12-30T02:00:00Z</dcterms:modified>
</cp:coreProperties>
</file>