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u w:val="single"/>
          <w:rtl w:val="0"/>
        </w:rPr>
        <w:t xml:space="preserve">EXPLICACIÓN DE PRACTICA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24"/>
          <w:szCs w:val="24"/>
          <w:rtl w:val="0"/>
        </w:rPr>
        <w:t xml:space="preserve">En este trabajo se realiza un análisis del reporte de incidente, donde se puede ver problema que sucedio y debajo un análisis detallado teniendo en cuenta cada aspecto de la infraestructura NIST( identificar, proteger, detectar, responder y recuperar)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39997863769531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c4043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c4043"/>
          <w:sz w:val="40"/>
          <w:szCs w:val="40"/>
          <w:u w:val="none"/>
          <w:shd w:fill="auto" w:val="clear"/>
          <w:vertAlign w:val="baseline"/>
          <w:rtl w:val="0"/>
        </w:rPr>
        <w:t xml:space="preserve">Incident report analysis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8388671875" w:line="240" w:lineRule="auto"/>
        <w:ind w:left="29.44000244140625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4a85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34a853"/>
          <w:sz w:val="24"/>
          <w:szCs w:val="24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396484375" w:line="375.4496097564697" w:lineRule="auto"/>
        <w:ind w:left="18.39996337890625" w:right="184.783935546875" w:hanging="4.799957275390625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chart as a way to practice applying the NIST framework to different situations you encounter.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040"/>
        <w:tblGridChange w:id="0">
          <w:tblGrid>
            <w:gridCol w:w="2040"/>
            <w:gridCol w:w="8040"/>
          </w:tblGrid>
        </w:tblGridChange>
      </w:tblGrid>
      <w:tr>
        <w:trPr>
          <w:cantSplit w:val="0"/>
          <w:trHeight w:val="3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0003662109375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2.1091365814209" w:lineRule="auto"/>
              <w:ind w:left="135.4998779296875" w:right="252.5048828125" w:firstLine="11.8801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el día de la fecha la red de la organización reportó que los servidores dejaron de responder por aproximadamente 2 horas. Se detectó que el causante fue un ataque DoS que inundó el sistema de ping ICMP. El equipo de incidentes bloqueó el servicio ICMP y recuperó los servidores afectados. Se determinó que esto se debió a un ataque de un agente malicioso el cual se aprovechó de un firewall mal configurado. Las medidas del equipo de seguridad fueron: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nueva regla de cortafuegos para limitar la tasa de paquetes ICMP entrantes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58114624023" w:lineRule="auto"/>
              <w:ind w:left="139.46014404296875" w:right="146.9921875" w:firstLine="7.91992187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auditoría se llegó a la conclusión de que este actor malicioso tenía intenciones de sabotear nuestro sistema, ya que la información proveniente de la empresa sigue intacta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58114624023" w:lineRule="auto"/>
              <w:ind w:left="137.69989013671875" w:right="881.912841796875" w:firstLine="9.680175781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medidas que se tomaron fueron: actualizar el firewall para limitar la cantidad de ingresos de paquetes ICMP, verificar la dirección IP para asegurarnos que sea verdadera.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49531555176" w:lineRule="auto"/>
              <w:ind w:left="135.4998779296875" w:right="195.264892578125" w:firstLine="11.880187988281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evitar esta situación de nuevo, se traerá software IDS/IPS para detectar tráfico sospechoso y detenerlo antes. Además se pedirá una verificación de IP para asegurarnos de que no sea falsa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040"/>
        <w:tblGridChange w:id="0">
          <w:tblGrid>
            <w:gridCol w:w="2040"/>
            <w:gridCol w:w="804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0089416504" w:lineRule="auto"/>
              <w:ind w:left="137.69989013671875" w:right="487.44873046875" w:firstLine="9.680175781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Mejorar el firewall y actualizarlo para que sea capaz de protege el sistema y evitar que avance más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44958114624023" w:lineRule="auto"/>
              <w:ind w:left="137.69989013671875" w:right="322.84912109375" w:hanging="1.31988525390625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solicita que en caso de que vuelva a suceder, cada empleado esté al tanto de la situación así pueden manejarlo mejor y contactar al equipo correspondiente de forma más rápida.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Reflections/Notes: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70" w:top="1430" w:left="1070" w:right="10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