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4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2286000" cy="8667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866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95959"/>
          <w:sz w:val="24"/>
          <w:szCs w:val="24"/>
          <w:rtl w:val="0"/>
        </w:rPr>
        <w:t xml:space="preserve">Universidad Argentina de la Empresa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Facultad de Ingeniería y Ciencias Exactas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4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50"/>
          <w:szCs w:val="50"/>
          <w:rtl w:val="0"/>
        </w:rPr>
        <w:t xml:space="preserve">Trabajo Práctico Obligatorio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b3a6b" w:space="6" w:sz="8" w:val="single"/>
        </w:pBdr>
        <w:spacing w:after="40" w:lineRule="auto"/>
        <w:jc w:val="center"/>
        <w:rPr>
          <w:rFonts w:ascii="Calibri" w:cs="Calibri" w:eastAsia="Calibri" w:hAnsi="Calibri"/>
          <w:color w:val="000000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color w:val="000000"/>
          <w:sz w:val="30"/>
          <w:szCs w:val="30"/>
          <w:rtl w:val="0"/>
        </w:rPr>
        <w:t xml:space="preserve">Ciencia de Datos (3.4.217)</w:t>
      </w:r>
    </w:p>
    <w:p w:rsidR="00000000" w:rsidDel="00000000" w:rsidP="00000000" w:rsidRDefault="00000000" w:rsidRPr="00000000" w14:paraId="00000006">
      <w:pPr>
        <w:pBdr>
          <w:bottom w:color="1b3a6b" w:space="6" w:sz="8" w:val="single"/>
        </w:pBdr>
        <w:spacing w:after="40" w:lineRule="auto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Grupo 7</w:t>
      </w:r>
    </w:p>
    <w:p w:rsidR="00000000" w:rsidDel="00000000" w:rsidP="00000000" w:rsidRDefault="00000000" w:rsidRPr="00000000" w14:paraId="00000007">
      <w:pPr>
        <w:spacing w:after="700" w:befor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595959"/>
          <w:sz w:val="26"/>
          <w:szCs w:val="26"/>
          <w:rtl w:val="0"/>
        </w:rPr>
        <w:t xml:space="preserve">Dominio del Negocio e Hipótesis</w:t>
      </w:r>
      <w:r w:rsidDel="00000000" w:rsidR="00000000" w:rsidRPr="00000000">
        <w:rPr>
          <w:rtl w:val="0"/>
        </w:rPr>
      </w:r>
    </w:p>
    <w:tbl>
      <w:tblPr>
        <w:tblStyle w:val="Table1"/>
        <w:tblW w:w="7230.0" w:type="dxa"/>
        <w:jc w:val="center"/>
        <w:tblBorders>
          <w:top w:color="aebed4" w:space="0" w:sz="3" w:val="single"/>
          <w:left w:color="aebed4" w:space="0" w:sz="3" w:val="single"/>
          <w:bottom w:color="aebed4" w:space="0" w:sz="3" w:val="single"/>
          <w:right w:color="aebed4" w:space="0" w:sz="3" w:val="single"/>
          <w:insideH w:color="aebed4" w:space="0" w:sz="3" w:val="single"/>
          <w:insideV w:color="aebed4" w:space="0" w:sz="3" w:val="single"/>
        </w:tblBorders>
        <w:tblLayout w:type="fixed"/>
        <w:tblLook w:val="0000"/>
      </w:tblPr>
      <w:tblGrid>
        <w:gridCol w:w="2445"/>
        <w:gridCol w:w="4785"/>
        <w:tblGridChange w:id="0">
          <w:tblGrid>
            <w:gridCol w:w="2445"/>
            <w:gridCol w:w="4785"/>
          </w:tblGrid>
        </w:tblGridChange>
      </w:tblGrid>
      <w:tr>
        <w:trPr>
          <w:cantSplit w:val="0"/>
          <w:tblHeader w:val="0"/>
        </w:trPr>
        <w:tc>
          <w:tcPr>
            <w:shd w:fill="eaf0f8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1"/>
                <w:szCs w:val="21"/>
                <w:rtl w:val="0"/>
              </w:rPr>
              <w:t xml:space="preserve">Comisión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6423 — Viernes 07:45–11:45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1"/>
                <w:szCs w:val="21"/>
                <w:rtl w:val="0"/>
              </w:rPr>
              <w:t xml:space="preserve">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Santiago Gabriel Martin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1"/>
                <w:szCs w:val="21"/>
                <w:rtl w:val="0"/>
              </w:rPr>
              <w:t xml:space="preserve">Cuatrimestre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1.º cuatrimestre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1"/>
                <w:szCs w:val="21"/>
                <w:rtl w:val="0"/>
              </w:rPr>
              <w:t xml:space="preserve">Dominio elegido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No-show de turnos médicos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1"/>
                <w:szCs w:val="21"/>
                <w:rtl w:val="0"/>
              </w:rPr>
              <w:t xml:space="preserve">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Arbe, Candelaria </w:t>
            </w:r>
            <w:r w:rsidDel="00000000" w:rsidR="00000000" w:rsidRPr="00000000"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—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1175530</w:t>
            </w:r>
          </w:p>
          <w:p w:rsidR="00000000" w:rsidDel="00000000" w:rsidP="00000000" w:rsidRDefault="00000000" w:rsidRPr="00000000" w14:paraId="00000012">
            <w:pPr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Fernandez, Candela — 1180678</w:t>
            </w:r>
          </w:p>
          <w:p w:rsidR="00000000" w:rsidDel="00000000" w:rsidP="00000000" w:rsidRDefault="00000000" w:rsidRPr="00000000" w14:paraId="00000013">
            <w:pPr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Brander, Tomás — 1096951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 Nombre Apellido — LU] · [Nombre Apellido — LU]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1"/>
                <w:szCs w:val="21"/>
                <w:rtl w:val="0"/>
              </w:rPr>
              <w:t xml:space="preserve">Fecha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[completar]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30"/>
          <w:szCs w:val="30"/>
          <w:rtl w:val="0"/>
        </w:rPr>
        <w:t xml:space="preserve">Índice</w:t>
      </w:r>
      <w:r w:rsidDel="00000000" w:rsidR="00000000" w:rsidRPr="00000000">
        <w:rPr>
          <w:rtl w:val="0"/>
        </w:rPr>
      </w:r>
    </w:p>
    <w:sdt>
      <w:sdtPr>
        <w:id w:val="173419540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Selección del Dominio del Negocio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 Descripción del dominio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 Problemática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 Propuesta de valor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1.4. Fuentes de datos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Desarrollo de la Hipótesis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Hipótesis: qué proponemos resolver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 Audiencia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2.3. Cómo se resuelve la hipótesis para la entrega de valor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Metodología de trabajo y organización del equipo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Enfoque metodológico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 Roles del equipo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  <w:sectPr>
          <w:pgSz w:h="15840" w:w="12240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140" w:before="3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30"/>
          <w:szCs w:val="30"/>
          <w:rtl w:val="0"/>
        </w:rPr>
        <w:t xml:space="preserve">1. Selección del Dominio del Negocio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5"/>
          <w:szCs w:val="25"/>
          <w:rtl w:val="0"/>
        </w:rPr>
        <w:t xml:space="preserve">1.1. Descripción del dominio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Un centro de salud ambulatorio (clínica u hospital) atiende a sus pacientes mediante turnos programados. El circuito de atención es el siguiente: el paciente solicita un turno —de forma presencial, telefónica o web—, se le asigna una fecha y un horario con un profesional y, el día indicado, asiste a la consulta o no lo hace.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agenda del profesional constituye el recurso central del negocio: cada franja horaria tiene un costo fijo —el tiempo del médico— y una capacidad limitada. La gestión eficiente de esa agenda determina cuántos pacientes se atienden y con qué nivel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5"/>
          <w:szCs w:val="25"/>
          <w:rtl w:val="0"/>
        </w:rPr>
        <w:t xml:space="preserve">1.2. Problemática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ausentismo a turnos médicos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(en inglés, 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no-show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 ronda el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20–30 %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de los turnos otorgados. Cuando un paciente no asiste y no avisa con antelación, se producen dos efectos negativos simultáneos: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franja horaria queda ociosa: una hora del profesional que la institución igualmente debe afrontar.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Otro paciente que sí habría asistido no pudo ocupar ese lugar, lo que incrementa la lista de espera.</w:t>
      </w:r>
    </w:p>
    <w:p w:rsidR="00000000" w:rsidDel="00000000" w:rsidP="00000000" w:rsidRDefault="00000000" w:rsidRPr="00000000" w14:paraId="0000002E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 trata, por lo tanto, de un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doble costo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un recurso médico desperdiciado y un peor acceso a la atención para el resto de los pacientes. En la actualidad, la institución no dispone de información anticipada sobre quién faltará, de modo que no puede tomar ninguna acción preventiva.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5"/>
          <w:szCs w:val="25"/>
          <w:rtl w:val="0"/>
        </w:rPr>
        <w:t xml:space="preserve">1.3. Propuesta de valor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propuesta consiste en predecir, en el momento mismo de agendar el turno, la probabilidad de que cada paciente falte, con el fin de accionar sobre aquellos de mayor riesgo mediante: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Recordatorios dirigidos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(SMS o llamado telefónico) a los pacientes con mayor probabilidad de ausentarse.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Sobreturnos controlados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las franjas horarias de alto riesgo de ausentismo.</w:t>
      </w:r>
    </w:p>
    <w:p w:rsidR="00000000" w:rsidDel="00000000" w:rsidP="00000000" w:rsidRDefault="00000000" w:rsidRPr="00000000" w14:paraId="00000033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Valor para el negocio: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reducción del ausentismo, mejor aprovechamiento de la agenda y disminución de la lista de espera, sin necesidad de incorporar recursos adicionales. Cada turno no perdido recupera una hora efectiva de atención.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5"/>
          <w:szCs w:val="25"/>
          <w:rtl w:val="0"/>
        </w:rPr>
        <w:t xml:space="preserve">1.4. Fuentes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Fuente principal —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Medical Appointment No Shows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(Kaggle)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aebed4" w:space="0" w:sz="3" w:val="single"/>
          <w:left w:color="aebed4" w:space="0" w:sz="3" w:val="single"/>
          <w:bottom w:color="aebed4" w:space="0" w:sz="3" w:val="single"/>
          <w:right w:color="aebed4" w:space="0" w:sz="3" w:val="single"/>
          <w:insideH w:color="aebed4" w:space="0" w:sz="3" w:val="single"/>
          <w:insideV w:color="aebed4" w:space="0" w:sz="3" w:val="single"/>
        </w:tblBorders>
        <w:tblLayout w:type="fixed"/>
        <w:tblLook w:val="0000"/>
      </w:tblPr>
      <w:tblGrid>
        <w:gridCol w:w="2505"/>
        <w:gridCol w:w="6855"/>
        <w:tblGridChange w:id="0">
          <w:tblGrid>
            <w:gridCol w:w="2505"/>
            <w:gridCol w:w="6855"/>
          </w:tblGrid>
        </w:tblGridChange>
      </w:tblGrid>
      <w:tr>
        <w:trPr>
          <w:cantSplit w:val="0"/>
          <w:tblHeader w:val="0"/>
        </w:trPr>
        <w:tc>
          <w:tcPr>
            <w:shd w:fill="1b3a6b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3a6b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Detalle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1"/>
                <w:szCs w:val="21"/>
                <w:rtl w:val="0"/>
              </w:rPr>
              <w:t xml:space="preserve">Origen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Kaggle — registros reales de turnos de salud pública de Brasil.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1"/>
                <w:szCs w:val="21"/>
                <w:rtl w:val="0"/>
              </w:rPr>
              <w:t xml:space="preserve">Volumen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110.527 turnos (filas); 20,2 % de ausentismo (22.319 no-show).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1"/>
                <w:szCs w:val="21"/>
                <w:rtl w:val="0"/>
              </w:rPr>
              <w:t xml:space="preserve">Variables (14)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Edad, género, barrio, fechas de agendamiento y de turno, comorbilidades (diabetes, hipertensión, alcoholismo, discapacidad), recepción de SMS, beca social y la variable objetivo: asistió / no asistió.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1"/>
                <w:szCs w:val="21"/>
                <w:rtl w:val="0"/>
              </w:rPr>
              <w:t xml:space="preserve">Justificación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Conjunto de datos limpio, masivo y documentado, con la variable a predecir ya etiquetada. Combina variables categóricas y numéricas, lo que habilita el análisis exploratorio y la ingeniería de características.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Fuente secundaria — Clima por fecha (expectativa superadora)</w:t>
      </w:r>
      <w:r w:rsidDel="00000000" w:rsidR="00000000" w:rsidRPr="00000000">
        <w:rPr>
          <w:rtl w:val="0"/>
        </w:rPr>
      </w:r>
    </w:p>
    <w:tbl>
      <w:tblPr>
        <w:tblStyle w:val="Table3"/>
        <w:tblW w:w="9375.0" w:type="dxa"/>
        <w:jc w:val="left"/>
        <w:tblBorders>
          <w:top w:color="aebed4" w:space="0" w:sz="3" w:val="single"/>
          <w:left w:color="aebed4" w:space="0" w:sz="3" w:val="single"/>
          <w:bottom w:color="aebed4" w:space="0" w:sz="3" w:val="single"/>
          <w:right w:color="aebed4" w:space="0" w:sz="3" w:val="single"/>
          <w:insideH w:color="aebed4" w:space="0" w:sz="3" w:val="single"/>
          <w:insideV w:color="aebed4" w:space="0" w:sz="3" w:val="single"/>
        </w:tblBorders>
        <w:tblLayout w:type="fixed"/>
        <w:tblLook w:val="0000"/>
      </w:tblPr>
      <w:tblGrid>
        <w:gridCol w:w="2535"/>
        <w:gridCol w:w="6840"/>
        <w:tblGridChange w:id="0">
          <w:tblGrid>
            <w:gridCol w:w="2535"/>
            <w:gridCol w:w="6840"/>
          </w:tblGrid>
        </w:tblGridChange>
      </w:tblGrid>
      <w:tr>
        <w:trPr>
          <w:cantSplit w:val="0"/>
          <w:tblHeader w:val="0"/>
        </w:trPr>
        <w:tc>
          <w:tcPr>
            <w:shd w:fill="1b3a6b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3a6b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Detalle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1"/>
                <w:szCs w:val="21"/>
                <w:rtl w:val="0"/>
              </w:rPr>
              <w:t xml:space="preserve">Origen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INMET (Brasil) — clima horario 2016, estación A612 (Vitória, ES), agregado a nivel diario.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1"/>
                <w:szCs w:val="21"/>
                <w:rtl w:val="0"/>
              </w:rPr>
              <w:t xml:space="preserve">Integración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Se cruza por la fecha del turno —dato ya presente en la fuente principal—, por lo que la integración es directa.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1"/>
                <w:szCs w:val="21"/>
                <w:rtl w:val="0"/>
              </w:rPr>
              <w:t xml:space="preserve">Justificación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Permite analizar si la lluvia o la temperatura inciden en el ausentismo, y satisface el requisito superador de utilizar varias fuentes de datos distintas.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pStyle w:val="Heading1"/>
        <w:spacing w:after="140" w:before="3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30"/>
          <w:szCs w:val="30"/>
          <w:rtl w:val="0"/>
        </w:rPr>
        <w:t xml:space="preserve">2. Desarrollo de la Hipótesis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Definidos el dominio y las fuentes de datos, se plantea a continuación la pregunta concreta que el proyecto busca responder y el modo en que esa respuesta se traduce en valor para la organización.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5"/>
          <w:szCs w:val="25"/>
          <w:rtl w:val="0"/>
        </w:rPr>
        <w:t xml:space="preserve">2.1. Hipótesis: qué proponemos resolver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left w:color="1b3a6b" w:space="12" w:sz="18" w:val="single"/>
        </w:pBdr>
        <w:spacing w:after="160" w:before="60" w:line="300" w:lineRule="auto"/>
        <w:ind w:left="360" w:firstLine="0"/>
        <w:jc w:val="both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Es posible predecir, en el momento en que se agenda un turno, qué pacientes faltarán a la consulta a partir de sus características y del contexto del turno; y utilizar esa predicción para reducir el costo del ausentismo mediante recordatorios dirigidos y la asignación de sobreturnos.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hipótesis es verificable: el modelo predictivo entregará, para cada turno, una probabilidad de ausencia que podrá contrastarse contra lo efectivamente ocurrido, y cuyo acierto se medirá con métricas objetivas (véase sección 2.3).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5"/>
          <w:szCs w:val="25"/>
          <w:rtl w:val="0"/>
        </w:rPr>
        <w:t xml:space="preserve">2.2. Audiencia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Conforme a la consigna, la audiencia del trabajo es la Gerencia Comercial y Técnica. El mensaje se adapta a cada una: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Gerencia Comercial: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enfatiza el impacto en el aprovechamiento de la agenda, los ingresos recuperados por hora-profesional, la reducción de la lista de espera y la mejora en el acceso de los pacientes.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Gerencia Técnica: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detalla el modelo de minería empleado, el pipeline de datos que lo alimenta y las métricas que garantizan la confiabilidad de la predicción.</w:t>
      </w:r>
    </w:p>
    <w:p w:rsidR="00000000" w:rsidDel="00000000" w:rsidP="00000000" w:rsidRDefault="00000000" w:rsidRPr="00000000" w14:paraId="00000053">
      <w:pPr>
        <w:pStyle w:val="Heading2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5"/>
          <w:szCs w:val="25"/>
          <w:rtl w:val="0"/>
        </w:rPr>
        <w:t xml:space="preserve">2.3. Cómo se resuelve la hipótesis para la entrega de valor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resolución se apoya en una técnica de aprendizaje supervisado de las estudiadas en la asignatura: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Técnica: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clasificación binaria (asiste / no asiste) mediante árboles de decisión y Random Forest. La variable objetivo es categórica de dos clases, lo que encuadra el problema como clasificación.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Evaluación: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dado que las clases están desbalanceadas (aproximadamente 80 % de asistencia frente a 20 % de ausencia), el desempeño se mide con precision, recall, F1 y AUC, y no únicamente con accuracy —una métrica que, ante este desbalanceo, resultaría engañosa.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 de valor: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modelo devuelve una probabilidad de ausencia por turno; sobre ella, la aplicación funcional recomienda la acción correspondiente (recordatorio o sobreturno). Cada turno no perdido recupera una hora efectiva de atención, materializando el valor propuesto para el negocio.</w:t>
      </w:r>
    </w:p>
    <w:p w:rsidR="00000000" w:rsidDel="00000000" w:rsidP="00000000" w:rsidRDefault="00000000" w:rsidRPr="00000000" w14:paraId="00000058">
      <w:pPr>
        <w:pBdr>
          <w:left w:color="1b3a6b" w:space="12" w:sz="18" w:val="single"/>
        </w:pBdr>
        <w:spacing w:after="0" w:before="120" w:lineRule="auto"/>
        <w:ind w:left="360" w:firstLine="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rtl w:val="0"/>
        </w:rPr>
        <w:t xml:space="preserve">Coherencia hipótesis–conclusión: 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la métrica del modelo responde de forma directa a la hipótesis planteada, criterio que la consigna evalúa explícitamente.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spacing w:after="140" w:before="3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30"/>
          <w:szCs w:val="30"/>
          <w:rtl w:val="0"/>
        </w:rPr>
        <w:t xml:space="preserve">3. Metodología de trabajo y organización del equipo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5"/>
          <w:szCs w:val="25"/>
          <w:rtl w:val="0"/>
        </w:rPr>
        <w:t xml:space="preserve">3.1. Enfoque metodológico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proyecto combina una metodología de ciencia de datos con una metodología ágil de gestión: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minería de datos — CRISP-DM: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trabajo recorre sus fases (comprensión del negocio, comprensión de los datos, preparación, modelado, evaluación y despliegue), que se corresponden con las secciones de este proyecto.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del proyecto — metodología ágil: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adopta un enfoque iterativo basado en Kanban (tablero To Do / Doing / Done en GitHub Projects), con iteraciones cortas alineadas a las entregas parciales de la cátedra para revisar avances y reencauzar el trabajo.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Versionado — GitHub: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el código del proyecto de datos (notebook de EDA y modelado, y la aplicación funcional) se versiona en un repositorio de GitHub, con commits descriptivos y trabajo por ramas.</w:t>
      </w:r>
    </w:p>
    <w:p w:rsidR="00000000" w:rsidDel="00000000" w:rsidP="00000000" w:rsidRDefault="00000000" w:rsidRPr="00000000" w14:paraId="0000005F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Esta combinación responde a las expectativas superadoras de la consigna (administración del proyecto con metodologías ágiles y versionado del código).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5"/>
          <w:szCs w:val="25"/>
          <w:rtl w:val="0"/>
        </w:rPr>
        <w:t xml:space="preserve">3.2. Roles del equipo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Cada integrante asume un rol específico y expone su área de influencia durante la presentación, conforme lo exige la consigna. Los roles propuestos son:</w:t>
      </w:r>
      <w:r w:rsidDel="00000000" w:rsidR="00000000" w:rsidRPr="00000000">
        <w:rPr>
          <w:rtl w:val="0"/>
        </w:rPr>
      </w:r>
    </w:p>
    <w:tbl>
      <w:tblPr>
        <w:tblStyle w:val="Table4"/>
        <w:tblW w:w="9465.0" w:type="dxa"/>
        <w:jc w:val="left"/>
        <w:tblBorders>
          <w:top w:color="aebed4" w:space="0" w:sz="3" w:val="single"/>
          <w:left w:color="aebed4" w:space="0" w:sz="3" w:val="single"/>
          <w:bottom w:color="aebed4" w:space="0" w:sz="3" w:val="single"/>
          <w:right w:color="aebed4" w:space="0" w:sz="3" w:val="single"/>
          <w:insideH w:color="aebed4" w:space="0" w:sz="3" w:val="single"/>
          <w:insideV w:color="aebed4" w:space="0" w:sz="3" w:val="single"/>
        </w:tblBorders>
        <w:tblLayout w:type="fixed"/>
        <w:tblLook w:val="0000"/>
      </w:tblPr>
      <w:tblGrid>
        <w:gridCol w:w="2175"/>
        <w:gridCol w:w="4215"/>
        <w:gridCol w:w="3075"/>
        <w:tblGridChange w:id="0">
          <w:tblGrid>
            <w:gridCol w:w="2175"/>
            <w:gridCol w:w="4215"/>
            <w:gridCol w:w="3075"/>
          </w:tblGrid>
        </w:tblGridChange>
      </w:tblGrid>
      <w:tr>
        <w:trPr>
          <w:cantSplit w:val="0"/>
          <w:tblHeader w:val="0"/>
        </w:trPr>
        <w:tc>
          <w:tcPr>
            <w:shd w:fill="1b3a6b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3a6b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Responsabilidad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b3a6b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1"/>
                <w:szCs w:val="21"/>
                <w:rtl w:val="0"/>
              </w:rPr>
              <w:t xml:space="preserve">Líder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Coordina el equipo y la metodología ágil; expone el dominio, la problemática y la propuesta de valor.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0f8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[Nombre]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1"/>
                <w:szCs w:val="21"/>
                <w:rtl w:val="0"/>
              </w:rPr>
              <w:t xml:space="preserve">Ingeniero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Selección e ingesta de fuentes (Kaggle y fuente secundaria), limpieza y construcción del pipeline de datos.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[Nombre]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1"/>
                <w:szCs w:val="21"/>
                <w:rtl w:val="0"/>
              </w:rPr>
              <w:t xml:space="preserve">Analista de datos (EDA)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Análisis exploratorio, control de calidad de datos y visualizaciones descriptivas.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0f8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Cande Fernandez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1"/>
                <w:szCs w:val="21"/>
                <w:rtl w:val="0"/>
              </w:rPr>
              <w:t xml:space="preserve">Especialista en modelado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Ingeniería de características, entrenamiento del modelo (árbol de decisión / Random Forest) y evaluación con métricas.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[Nombre]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0f8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1"/>
                <w:szCs w:val="21"/>
                <w:rtl w:val="0"/>
              </w:rPr>
              <w:t xml:space="preserve">Desarrollador de la aplicación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Construcción de la aplicación funcional interactiva y conexión con el modelo; conclusión y storytelling.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0f8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1"/>
                <w:szCs w:val="21"/>
                <w:rtl w:val="0"/>
              </w:rPr>
              <w:t xml:space="preserve">[Nombre]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pBdr>
          <w:left w:color="b45309" w:space="12" w:sz="18" w:val="single"/>
        </w:pBdr>
        <w:spacing w:after="0" w:before="100" w:lineRule="auto"/>
        <w:ind w:left="360" w:firstLine="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b45309"/>
          <w:rtl w:val="0"/>
        </w:rPr>
        <w:t xml:space="preserve">Nota: 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ajustar la cantidad de roles a la cantidad de integrantes del grupo; un integrante puede asumir más de un rol si fuera necesario.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spacing w:after="140" w:before="3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30"/>
          <w:szCs w:val="30"/>
          <w:rtl w:val="0"/>
        </w:rPr>
        <w:t xml:space="preserve">4. Arquitectura de la solución (tubería de datos)</w:t>
      </w:r>
    </w:p>
    <w:p w:rsidR="00000000" w:rsidDel="00000000" w:rsidP="00000000" w:rsidRDefault="00000000" w:rsidRPr="0000000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solución se implementa como una tubería de datos reproducible en Python que va desde las fuentes crudas hasta la aplicación funcional, recorriendo las fases de CRISP-DM (comprensión del negocio y de los datos, preparación, modelado, evaluación y despliegue). El flujo es el siguiente:</w:t>
      </w:r>
    </w:p>
    <w:p w:rsidR="00000000" w:rsidDel="00000000" w:rsidP="00000000" w:rsidRDefault="00000000" w:rsidRPr="0000000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Fuentes (turnos Kaggle + clima INMET) → Ingesta y validación → Limpieza → Ingeniería de características → Preprocesado → Modelo (Árbol de Decisión / Random Forest) → Evaluación → Modelo entregable → Aplicación Streamlit.</w:t>
      </w:r>
    </w:p>
    <w:p w:rsidR="00000000" w:rsidDel="00000000" w:rsidP="00000000" w:rsidRDefault="00000000" w:rsidRPr="00000000">
      <w:pPr>
        <w:numPr>
          <w:ilvl w:val="0"/>
          <w:numId w:val="1"/>
        </w:numP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Ingesta y validación: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carga del dataset de turnos y verificación de su esquema (14 columnas); del clima, filtrado de la estación de Vitória y agregación a nivel diario.</w:t>
      </w:r>
    </w:p>
    <w:p w:rsidR="00000000" w:rsidDel="00000000" w:rsidP="00000000" w:rsidRDefault="00000000" w:rsidRPr="00000000">
      <w:pPr>
        <w:numPr>
          <w:ilvl w:val="0"/>
          <w:numId w:val="1"/>
        </w:numP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Limpieza: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corrección de registros inválidos (edades negativas y lead times negativos), con conteo de los casos afectados.</w:t>
      </w:r>
    </w:p>
    <w:p w:rsidR="00000000" w:rsidDel="00000000" w:rsidP="00000000" w:rsidRDefault="00000000" w:rsidRPr="00000000">
      <w:pPr>
        <w:numPr>
          <w:ilvl w:val="0"/>
          <w:numId w:val="1"/>
        </w:numP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Ingeniería de características: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lead time (días entre agendamiento y turno), día y mes del turno, grupos etarios, comorbilidades, agrupación de barrios de baja frecuencia y cruce con las variables de clima.</w:t>
      </w:r>
    </w:p>
    <w:p w:rsidR="00000000" w:rsidDel="00000000" w:rsidP="00000000" w:rsidRDefault="00000000" w:rsidRPr="00000000">
      <w:pPr>
        <w:numPr>
          <w:ilvl w:val="0"/>
          <w:numId w:val="1"/>
        </w:numP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Preprocesado: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codificación One-Hot de las variables categóricas dentro de un pipeline reutilizable que se ajusta solo con datos de entrenamiento (sin fuga de información) y se guarda junto al modelo.</w:t>
      </w:r>
    </w:p>
    <w:p w:rsidR="00000000" w:rsidDel="00000000" w:rsidP="00000000" w:rsidRDefault="00000000" w:rsidRPr="00000000">
      <w:pPr>
        <w:numPr>
          <w:ilvl w:val="0"/>
          <w:numId w:val="1"/>
        </w:numP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Modelado: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entrenamiento de un Árbol de Decisión y un Random Forest para clasificación binaria.</w:t>
      </w:r>
    </w:p>
    <w:p w:rsidR="00000000" w:rsidDel="00000000" w:rsidP="00000000" w:rsidRDefault="00000000" w:rsidRPr="00000000">
      <w:pPr>
        <w:numPr>
          <w:ilvl w:val="0"/>
          <w:numId w:val="1"/>
        </w:numP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Evaluación: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métricas robustas al desbalance de clases (precision, recall, F1, ROC-AUC) y matriz de confusión.</w:t>
      </w:r>
    </w:p>
    <w:p w:rsidR="00000000" w:rsidDel="00000000" w:rsidP="00000000" w:rsidRDefault="00000000" w:rsidRPr="00000000">
      <w:pPr>
        <w:numPr>
          <w:ilvl w:val="0"/>
          <w:numId w:val="1"/>
        </w:numP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Aplicación: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consume el modelo para devolver la probabilidad de no-show y recomendar la acción correspondiente.</w:t>
      </w:r>
    </w:p>
    <w:p w:rsidR="00000000" w:rsidDel="00000000" w:rsidP="00000000" w:rsidRDefault="00000000" w:rsidRPr="00000000">
      <w:pPr>
        <w:pStyle w:val="Heading2"/>
        <w:spacing w:after="100" w:before="2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5"/>
          <w:szCs w:val="25"/>
          <w:rtl w:val="0"/>
        </w:rPr>
        <w:t xml:space="preserve">4.1. Stack tecnológico y versionado</w:t>
      </w:r>
    </w:p>
    <w:p w:rsidR="00000000" w:rsidDel="00000000" w:rsidP="00000000" w:rsidRDefault="00000000" w:rsidRPr="0000000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proyecto se desarrolla en Python con las librerías pandas y scikit-learn para el procesamiento y el modelado; matplotlib y seaborn para la visualización; y Streamlit para la aplicación funcional interactiva. El análisis exploratorio y el modelado se documentan en un notebook (Jupyter/Colab). Todo el código se versiona en GitHub, con trabajo por ramas y commits descriptivos, y la gestión del proyecto sigue un tablero Kanban.</w:t>
      </w:r>
    </w:p>
    <w:p w:rsidR="00000000" w:rsidDel="00000000" w:rsidP="00000000" w:rsidRDefault="00000000" w:rsidRPr="00000000">
      <w:pPr>
        <w:pStyle w:val="Heading1"/>
        <w:spacing w:after="140" w:before="3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30"/>
          <w:szCs w:val="30"/>
          <w:rtl w:val="0"/>
        </w:rPr>
        <w:t xml:space="preserve">5. Preparación de datos y análisis exploratorio (EDA)</w:t>
      </w:r>
    </w:p>
    <w:p w:rsidR="00000000" w:rsidDel="00000000" w:rsidP="00000000" w:rsidRDefault="00000000" w:rsidRPr="0000000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 verificaron las dimensiones reales de la fuente principal: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110.527 turnos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y un ausentismo del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20,2 % (22.319 no-show)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lo que confirma el desbalance de clases (aproximadamente 80/20). Los turnos corresponden a Vitória (Espírito Santo, Brasil), con fecha de atención entre el 29-04-2016 y el 08-06-2016.</w:t>
      </w:r>
    </w:p>
    <w:p w:rsidR="00000000" w:rsidDel="00000000" w:rsidP="00000000" w:rsidRDefault="00000000" w:rsidRPr="0000000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fuente secundaria de clima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es el conjunto histórico horario de INMET (Brasil) para 2016. Se utiliza la estación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A612, correspondiente a Vitória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(validada como estación costera), agregando los registros horarios a nivel diario (precipitación total, temperatura máxima/mínima/media e indicador de lluvia) y cruzándolos con la fecha del turno. Esto satisface la expectativa superadora de integrar varias fuentes de datos distintas.</w:t>
      </w:r>
    </w:p>
    <w:p w:rsidR="00000000" w:rsidDel="00000000" w:rsidP="00000000" w:rsidRDefault="00000000" w:rsidRPr="0000000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EDA, en línea con lo trabajado en la asignatura, incluye: la distribución de la variable objetivo (para evidenciar el desbalance), histogramas y diagramas de caja de las variables numéricas (edad, lead time), la matriz de correlación, y el análisis de la relación de cada variable con el no-show, separando por clase.</w:t>
      </w:r>
    </w:p>
    <w:p w:rsidR="00000000" w:rsidDel="00000000" w:rsidP="00000000" w:rsidRDefault="00000000" w:rsidRPr="0000000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Advertencia metodológica: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la variable de envío de SMS está correlacionada con el lead time (se envía más a los turnos agendados con mayor anticipación), por lo que no debe interpretarse como una relación causal directa con el ausentismo.</w:t>
      </w:r>
    </w:p>
    <w:p w:rsidR="00000000" w:rsidDel="00000000" w:rsidP="00000000" w:rsidRDefault="00000000" w:rsidRPr="00000000">
      <w:pPr>
        <w:pStyle w:val="Heading1"/>
        <w:spacing w:after="140" w:before="3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30"/>
          <w:szCs w:val="30"/>
          <w:rtl w:val="0"/>
        </w:rPr>
        <w:t xml:space="preserve">6. Modelado y evaluación</w:t>
      </w:r>
    </w:p>
    <w:p w:rsidR="00000000" w:rsidDel="00000000" w:rsidP="00000000" w:rsidRDefault="00000000" w:rsidRPr="0000000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 entrenan dos modelos de clasificación binaria estudiados en la materia: un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Árbol de Decisión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controlado contra el sobreajuste mediante poda (profundidad máxima y mínimo de muestras por hoja), y un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Random Forest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que por su naturaleza de ensamble no se poda.</w:t>
      </w:r>
    </w:p>
    <w:p w:rsidR="00000000" w:rsidDel="00000000" w:rsidP="00000000" w:rsidRDefault="00000000" w:rsidRPr="0000000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partición de datos es un hold-out estratificado (que preserva la proporción de clases) y se complementa con validación cruzada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StratifiedKFold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 5 particiones para comparar ambos modelos de forma robusta, reportando la media y el desvío estándar de F1 y ROC-AUC.</w:t>
      </w:r>
    </w:p>
    <w:p w:rsidR="00000000" w:rsidDel="00000000" w:rsidP="00000000" w:rsidRDefault="00000000" w:rsidRPr="0000000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evaluación utiliza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classification_report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(precision, recall y F1 por clase), la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matriz de confusión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y el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ROC-AUC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No se usa la exactitud (accuracy) como métrica principal, ya que resulta engañosa ante clases desbalanceadas. Se analiza explícitamente el costo de un falso negativo (un no-show no detectado) frente a un falso positivo, y sobre esa base se ajusta el umbral de decisión priorizando el recall de la clase de ausencia. Se reporta además la importancia de variables del Random Forest.</w:t>
      </w:r>
    </w:p>
    <w:p w:rsidR="00000000" w:rsidDel="00000000" w:rsidP="00000000" w:rsidRDefault="00000000" w:rsidRPr="0000000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Limitaciones: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los datos son de 2016, de una única ciudad y previos a la pandemia; un despliegue real requeriría reentrenar el modelo con datos actuales (deriva de datos). Esto no afecta la validación de la hipótesis en el marco del trabajo.</w:t>
      </w:r>
    </w:p>
    <w:p w:rsidR="00000000" w:rsidDel="00000000" w:rsidP="00000000" w:rsidRDefault="00000000" w:rsidRPr="00000000">
      <w:pPr>
        <w:pStyle w:val="Heading1"/>
        <w:spacing w:after="140" w:before="3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30"/>
          <w:szCs w:val="30"/>
          <w:rtl w:val="0"/>
        </w:rPr>
        <w:t xml:space="preserve">7. Aplicación funcional y entrega de valor</w:t>
      </w:r>
    </w:p>
    <w:p w:rsidR="00000000" w:rsidDel="00000000" w:rsidP="00000000" w:rsidRDefault="00000000" w:rsidRPr="0000000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aplicación funcional se construye en Streamlit y consume el modelo entrenado. Ofrece dos modos de uso:</w:t>
      </w:r>
    </w:p>
    <w:p w:rsidR="00000000" w:rsidDel="00000000" w:rsidP="00000000" w:rsidRDefault="00000000" w:rsidRPr="00000000">
      <w:pPr>
        <w:numPr>
          <w:ilvl w:val="0"/>
          <w:numId w:val="1"/>
        </w:numP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Turno individual: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el usuario ingresa los atributos del turno (edad, género, barrio, fechas, envío de SMS, comorbilidades, beca y clima del día) y obtiene la probabilidad de no-show junto con la acción recomendada según la banda de riesgo: sin acción (bajo), recordatorio por SMS (medio) o llamado telefónico y sobreturno controlado (alto).</w:t>
      </w:r>
    </w:p>
    <w:p w:rsidR="00000000" w:rsidDel="00000000" w:rsidP="00000000" w:rsidRDefault="00000000" w:rsidRPr="00000000">
      <w:pPr>
        <w:numPr>
          <w:ilvl w:val="0"/>
          <w:numId w:val="1"/>
        </w:numPr>
        <w:shd w:fill="auto" w:val="clear"/>
        <w:spacing w:after="80" w:before="0" w:line="288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Agenda del día (modo lote):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se carga un conjunto de turnos y la aplicación devuelve una tabla ordenada por riesgo con la acción sugerida por turno, más una estimación del valor de negocio (horas-profesional potencialmente recuperadas y sobreturnos sugeridos).</w:t>
      </w:r>
    </w:p>
    <w:p w:rsidR="00000000" w:rsidDel="00000000" w:rsidP="00000000" w:rsidRDefault="00000000" w:rsidRPr="00000000">
      <w:pPr>
        <w:spacing w:after="140" w:line="30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 este modo, la salida del modelo se traduce directamente en decisiones operativas: cada turno recuperado equivale a una hora efectiva de atención, materializando la propuesta de valor y manteniendo la coherencia entre la hipótesis y la conclusión que exige la consigna.</w:t>
      </w:r>
    </w:p>
    <w:sectPr>
      <w:headerReference r:id="rId8" w:type="default"/>
      <w:footerReference r:id="rId9" w:type="default"/>
      <w:type w:val="nextPage"/>
      <w:pgSz w:h="15840" w:w="12240" w:orient="portrait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6">
    <w:pPr>
      <w:jc w:val="center"/>
      <w:rPr/>
    </w:pPr>
    <w:r w:rsidDel="00000000" w:rsidR="00000000" w:rsidRPr="00000000">
      <w:rPr>
        <w:rFonts w:ascii="Calibri" w:cs="Calibri" w:eastAsia="Calibri" w:hAnsi="Calibri"/>
        <w:color w:val="595959"/>
        <w:sz w:val="18"/>
        <w:szCs w:val="18"/>
        <w:rtl w:val="0"/>
      </w:rPr>
      <w:t xml:space="preserve">Página </w:t>
    </w:r>
    <w:r w:rsidDel="00000000" w:rsidR="00000000" w:rsidRPr="00000000"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color w:val="595959"/>
        <w:sz w:val="18"/>
        <w:szCs w:val="18"/>
        <w:rtl w:val="0"/>
      </w:rPr>
      <w:t xml:space="preserve"> de </w:t>
    </w:r>
    <w:r w:rsidDel="00000000" w:rsidR="00000000" w:rsidRPr="00000000"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pBdr>
        <w:bottom w:color="aebed4" w:space="4" w:sz="4" w:val="single"/>
      </w:pBdr>
      <w:tabs>
        <w:tab w:val="right" w:leader="none" w:pos="9026"/>
      </w:tabs>
      <w:rPr/>
    </w:pPr>
    <w:r w:rsidDel="00000000" w:rsidR="00000000" w:rsidRPr="00000000">
      <w:rPr>
        <w:rFonts w:ascii="Calibri" w:cs="Calibri" w:eastAsia="Calibri" w:hAnsi="Calibri"/>
        <w:color w:val="595959"/>
        <w:sz w:val="18"/>
        <w:szCs w:val="18"/>
        <w:rtl w:val="0"/>
      </w:rPr>
      <w:t xml:space="preserve">Ciencia de Datos — TPO </w:t>
    </w:r>
    <w:r w:rsidDel="00000000" w:rsidR="00000000" w:rsidRPr="00000000">
      <w:rPr>
        <w:rFonts w:ascii="Calibri" w:cs="Calibri" w:eastAsia="Calibri" w:hAnsi="Calibri"/>
        <w:i w:val="1"/>
        <w:iCs w:val="1"/>
        <w:color w:val="595959"/>
        <w:sz w:val="18"/>
        <w:szCs w:val="18"/>
        <w:rtl w:val="0"/>
      </w:rPr>
      <w:t xml:space="preserve">Dominio del Negocio e Hipótesis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40" w:before="3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b3a6b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5"/>
      <w:szCs w:val="25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o3gOFJXgBJXZcZTYuF9q3ZRoVQ==">CgMxLjA4AHIhMTdZVzF4aFR1Q0NHc3FFdzFfSnFMZHFnb200QWtmQWhj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