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center"/>
        <w:rPr/>
      </w:pPr>
      <w:r w:rsidDel="00000000" w:rsidR="00000000" w:rsidRPr="00000000">
        <w:rPr/>
        <w:drawing>
          <wp:inline distB="0" distT="0" distL="0" distR="0">
            <wp:extent cx="2286000" cy="8667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00" w:lineRule="auto"/>
        <w:jc w:val="center"/>
        <w:rPr/>
      </w:pPr>
      <w:r w:rsidDel="00000000" w:rsidR="00000000" w:rsidRPr="00000000">
        <w:rPr>
          <w:rFonts w:ascii="Calibri" w:cs="Calibri" w:eastAsia="Calibri" w:hAnsi="Calibri"/>
          <w:color w:val="595959"/>
          <w:sz w:val="24"/>
          <w:szCs w:val="24"/>
          <w:rtl w:val="0"/>
        </w:rPr>
        <w:t xml:space="preserve">Universidad Argentina de la Empresa</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color w:val="595959"/>
          <w:sz w:val="22"/>
          <w:szCs w:val="22"/>
          <w:rtl w:val="0"/>
        </w:rPr>
        <w:t xml:space="preserve">Facultad de Ingeniería y Ciencias Exactas</w:t>
      </w:r>
      <w:r w:rsidDel="00000000" w:rsidR="00000000" w:rsidRPr="00000000">
        <w:rPr>
          <w:rtl w:val="0"/>
        </w:rPr>
      </w:r>
    </w:p>
    <w:p w:rsidR="00000000" w:rsidDel="00000000" w:rsidP="00000000" w:rsidRDefault="00000000" w:rsidRPr="00000000" w14:paraId="00000004">
      <w:pPr>
        <w:spacing w:after="60" w:before="400" w:lineRule="auto"/>
        <w:jc w:val="center"/>
        <w:rPr/>
      </w:pPr>
      <w:r w:rsidDel="00000000" w:rsidR="00000000" w:rsidRPr="00000000">
        <w:rPr>
          <w:rFonts w:ascii="Calibri" w:cs="Calibri" w:eastAsia="Calibri" w:hAnsi="Calibri"/>
          <w:b w:val="1"/>
          <w:bCs w:val="1"/>
          <w:color w:val="1b3a6b"/>
          <w:sz w:val="50"/>
          <w:szCs w:val="50"/>
          <w:rtl w:val="0"/>
        </w:rPr>
        <w:t xml:space="preserve">Trabajo Práctico Obligatorio</w:t>
      </w:r>
      <w:r w:rsidDel="00000000" w:rsidR="00000000" w:rsidRPr="00000000">
        <w:rPr>
          <w:rtl w:val="0"/>
        </w:rPr>
      </w:r>
    </w:p>
    <w:p w:rsidR="00000000" w:rsidDel="00000000" w:rsidP="00000000" w:rsidRDefault="00000000" w:rsidRPr="00000000" w14:paraId="00000005">
      <w:pPr>
        <w:pBdr>
          <w:bottom w:color="1b3a6b" w:space="6" w:sz="8" w:val="single"/>
        </w:pBdr>
        <w:spacing w:after="40" w:lineRule="auto"/>
        <w:jc w:val="center"/>
        <w:rPr>
          <w:rFonts w:ascii="Calibri" w:cs="Calibri" w:eastAsia="Calibri" w:hAnsi="Calibri"/>
          <w:color w:val="000000"/>
          <w:sz w:val="30"/>
          <w:szCs w:val="30"/>
        </w:rPr>
      </w:pPr>
      <w:r w:rsidDel="00000000" w:rsidR="00000000" w:rsidRPr="00000000">
        <w:rPr>
          <w:rFonts w:ascii="Calibri" w:cs="Calibri" w:eastAsia="Calibri" w:hAnsi="Calibri"/>
          <w:color w:val="000000"/>
          <w:sz w:val="30"/>
          <w:szCs w:val="30"/>
          <w:rtl w:val="0"/>
        </w:rPr>
        <w:t xml:space="preserve">Ciencia de Datos (3.4.217)</w:t>
      </w:r>
    </w:p>
    <w:p w:rsidR="00000000" w:rsidDel="00000000" w:rsidP="00000000" w:rsidRDefault="00000000" w:rsidRPr="00000000" w14:paraId="00000006">
      <w:pPr>
        <w:pBdr>
          <w:bottom w:color="1b3a6b" w:space="6" w:sz="8" w:val="single"/>
        </w:pBdr>
        <w:spacing w:after="40" w:lineRule="auto"/>
        <w:jc w:val="center"/>
        <w:rPr>
          <w:sz w:val="30"/>
          <w:szCs w:val="30"/>
        </w:rPr>
      </w:pPr>
      <w:r w:rsidDel="00000000" w:rsidR="00000000" w:rsidRPr="00000000">
        <w:rPr>
          <w:sz w:val="30"/>
          <w:szCs w:val="30"/>
          <w:rtl w:val="0"/>
        </w:rPr>
        <w:t xml:space="preserve">Grupo 7</w:t>
      </w:r>
    </w:p>
    <w:p w:rsidR="00000000" w:rsidDel="00000000" w:rsidP="00000000" w:rsidRDefault="00000000" w:rsidRPr="00000000" w14:paraId="00000007">
      <w:pPr>
        <w:spacing w:after="700" w:before="240" w:lineRule="auto"/>
        <w:jc w:val="center"/>
        <w:rPr/>
      </w:pPr>
      <w:r w:rsidDel="00000000" w:rsidR="00000000" w:rsidRPr="00000000">
        <w:rPr>
          <w:rFonts w:ascii="Calibri" w:cs="Calibri" w:eastAsia="Calibri" w:hAnsi="Calibri"/>
          <w:b w:val="1"/>
          <w:bCs w:val="1"/>
          <w:color w:val="595959"/>
          <w:sz w:val="26"/>
          <w:szCs w:val="26"/>
          <w:rtl w:val="0"/>
        </w:rPr>
        <w:t xml:space="preserve">Dominio del Negocio e Hipótesis</w:t>
      </w:r>
      <w:r w:rsidDel="00000000" w:rsidR="00000000" w:rsidRPr="00000000">
        <w:rPr>
          <w:rtl w:val="0"/>
        </w:rPr>
      </w:r>
    </w:p>
    <w:tbl>
      <w:tblPr>
        <w:tblStyle w:val="Table1"/>
        <w:tblW w:w="7230.0" w:type="dxa"/>
        <w:jc w:val="center"/>
        <w:tblBorders>
          <w:top w:color="aebed4" w:space="0" w:sz="3" w:val="single"/>
          <w:left w:color="aebed4" w:space="0" w:sz="3" w:val="single"/>
          <w:bottom w:color="aebed4" w:space="0" w:sz="3" w:val="single"/>
          <w:right w:color="aebed4" w:space="0" w:sz="3" w:val="single"/>
          <w:insideH w:color="aebed4" w:space="0" w:sz="3" w:val="single"/>
          <w:insideV w:color="aebed4" w:space="0" w:sz="3" w:val="single"/>
        </w:tblBorders>
        <w:tblLayout w:type="fixed"/>
        <w:tblLook w:val="0000"/>
      </w:tblPr>
      <w:tblGrid>
        <w:gridCol w:w="2445"/>
        <w:gridCol w:w="4785"/>
        <w:tblGridChange w:id="0">
          <w:tblGrid>
            <w:gridCol w:w="2445"/>
            <w:gridCol w:w="4785"/>
          </w:tblGrid>
        </w:tblGridChange>
      </w:tblGrid>
      <w:tr>
        <w:trPr>
          <w:cantSplit w:val="0"/>
          <w:tblHeader w:val="0"/>
        </w:trPr>
        <w:tc>
          <w:tcPr>
            <w:shd w:fill="eaf0f8" w:val="clear"/>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1b3a6b"/>
                <w:sz w:val="21"/>
                <w:szCs w:val="21"/>
                <w:rtl w:val="0"/>
              </w:rPr>
              <w:t xml:space="preserve">Comisión</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sz w:val="21"/>
                <w:szCs w:val="21"/>
                <w:rtl w:val="0"/>
              </w:rPr>
              <w:t xml:space="preserve">6423 — Viernes 07:45–11:45</w:t>
            </w:r>
            <w:r w:rsidDel="00000000" w:rsidR="00000000" w:rsidRPr="00000000">
              <w:rPr>
                <w:rtl w:val="0"/>
              </w:rPr>
            </w:r>
          </w:p>
        </w:tc>
      </w:tr>
      <w:tr>
        <w:trPr>
          <w:cantSplit w:val="0"/>
          <w:tblHeader w:val="0"/>
        </w:trPr>
        <w:tc>
          <w:tcPr>
            <w:shd w:fill="eaf0f8" w:val="clear"/>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b3a6b"/>
                <w:sz w:val="21"/>
                <w:szCs w:val="21"/>
                <w:rtl w:val="0"/>
              </w:rPr>
              <w:t xml:space="preserve">Docente</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sz w:val="21"/>
                <w:szCs w:val="21"/>
                <w:rtl w:val="0"/>
              </w:rPr>
              <w:t xml:space="preserve">Santiago Gabriel Martin</w:t>
            </w:r>
            <w:r w:rsidDel="00000000" w:rsidR="00000000" w:rsidRPr="00000000">
              <w:rPr>
                <w:rtl w:val="0"/>
              </w:rPr>
            </w:r>
          </w:p>
        </w:tc>
      </w:tr>
      <w:tr>
        <w:trPr>
          <w:cantSplit w:val="0"/>
          <w:tblHeader w:val="0"/>
        </w:trPr>
        <w:tc>
          <w:tcPr>
            <w:shd w:fill="eaf0f8"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1b3a6b"/>
                <w:sz w:val="21"/>
                <w:szCs w:val="21"/>
                <w:rtl w:val="0"/>
              </w:rPr>
              <w:t xml:space="preserve">Cuatrimestre</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sz w:val="21"/>
                <w:szCs w:val="21"/>
                <w:rtl w:val="0"/>
              </w:rPr>
              <w:t xml:space="preserve">1.º cuatrimestre 2026</w:t>
            </w:r>
            <w:r w:rsidDel="00000000" w:rsidR="00000000" w:rsidRPr="00000000">
              <w:rPr>
                <w:rtl w:val="0"/>
              </w:rPr>
            </w:r>
          </w:p>
        </w:tc>
      </w:tr>
      <w:tr>
        <w:trPr>
          <w:cantSplit w:val="0"/>
          <w:tblHeader w:val="0"/>
        </w:trPr>
        <w:tc>
          <w:tcPr>
            <w:shd w:fill="eaf0f8"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1b3a6b"/>
                <w:sz w:val="21"/>
                <w:szCs w:val="21"/>
                <w:rtl w:val="0"/>
              </w:rPr>
              <w:t xml:space="preserve">Dominio elegido</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sz w:val="21"/>
                <w:szCs w:val="21"/>
                <w:rtl w:val="0"/>
              </w:rPr>
              <w:t xml:space="preserve">No-show de turnos médicos</w:t>
            </w:r>
            <w:r w:rsidDel="00000000" w:rsidR="00000000" w:rsidRPr="00000000">
              <w:rPr>
                <w:rtl w:val="0"/>
              </w:rPr>
            </w:r>
          </w:p>
        </w:tc>
      </w:tr>
      <w:tr>
        <w:trPr>
          <w:cantSplit w:val="0"/>
          <w:tblHeader w:val="0"/>
        </w:trPr>
        <w:tc>
          <w:tcPr>
            <w:shd w:fill="eaf0f8"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b3a6b"/>
                <w:sz w:val="21"/>
                <w:szCs w:val="21"/>
                <w:rtl w:val="0"/>
              </w:rPr>
              <w:t xml:space="preserve">Integrantes</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11">
            <w:pPr>
              <w:rPr>
                <w:sz w:val="21"/>
                <w:szCs w:val="21"/>
              </w:rPr>
            </w:pPr>
            <w:r w:rsidDel="00000000" w:rsidR="00000000" w:rsidRPr="00000000">
              <w:rPr>
                <w:sz w:val="21"/>
                <w:szCs w:val="21"/>
                <w:rtl w:val="0"/>
              </w:rPr>
              <w:t xml:space="preserve">Arbe, Candelaria </w:t>
            </w:r>
            <w:r w:rsidDel="00000000" w:rsidR="00000000" w:rsidRPr="00000000">
              <w:rPr>
                <w:rFonts w:ascii="Calibri" w:cs="Calibri" w:eastAsia="Calibri" w:hAnsi="Calibri"/>
                <w:sz w:val="21"/>
                <w:szCs w:val="21"/>
                <w:rtl w:val="0"/>
              </w:rPr>
              <w:t xml:space="preserve">— </w:t>
            </w:r>
            <w:r w:rsidDel="00000000" w:rsidR="00000000" w:rsidRPr="00000000">
              <w:rPr>
                <w:sz w:val="21"/>
                <w:szCs w:val="21"/>
                <w:rtl w:val="0"/>
              </w:rPr>
              <w:t xml:space="preserve">1175530</w:t>
            </w:r>
          </w:p>
          <w:p w:rsidR="00000000" w:rsidDel="00000000" w:rsidP="00000000" w:rsidRDefault="00000000" w:rsidRPr="00000000" w14:paraId="00000012">
            <w:pPr>
              <w:rPr>
                <w:sz w:val="21"/>
                <w:szCs w:val="21"/>
              </w:rPr>
            </w:pPr>
            <w:r w:rsidDel="00000000" w:rsidR="00000000" w:rsidRPr="00000000">
              <w:rPr>
                <w:sz w:val="21"/>
                <w:szCs w:val="21"/>
                <w:rtl w:val="0"/>
              </w:rPr>
              <w:t xml:space="preserve">Fernandez, Candela — 1180678</w:t>
            </w:r>
          </w:p>
          <w:p w:rsidR="00000000" w:rsidDel="00000000" w:rsidP="00000000" w:rsidRDefault="00000000" w:rsidRPr="00000000" w14:paraId="00000013">
            <w:pPr>
              <w:rPr>
                <w:sz w:val="21"/>
                <w:szCs w:val="21"/>
              </w:rPr>
            </w:pPr>
            <w:r w:rsidDel="00000000" w:rsidR="00000000" w:rsidRPr="00000000">
              <w:rPr>
                <w:sz w:val="21"/>
                <w:szCs w:val="21"/>
                <w:rtl w:val="0"/>
              </w:rPr>
              <w:t xml:space="preserve">Brander, Tomás — 1096951</w:t>
            </w:r>
          </w:p>
          <w:p w:rsidR="00000000" w:rsidDel="00000000" w:rsidP="00000000" w:rsidRDefault="00000000" w:rsidRPr="00000000" w14:paraId="00000014">
            <w:pPr>
              <w:rPr/>
            </w:pPr>
            <w:r w:rsidDel="00000000" w:rsidR="00000000" w:rsidRPr="00000000">
              <w:rPr>
                <w:rFonts w:ascii="Calibri" w:cs="Calibri" w:eastAsia="Calibri" w:hAnsi="Calibri"/>
                <w:sz w:val="21"/>
                <w:szCs w:val="21"/>
                <w:rtl w:val="0"/>
              </w:rPr>
              <w:t xml:space="preserve"> Nombre Apellido — LU] · [Nombre Apellido — LU]</w:t>
            </w:r>
            <w:r w:rsidDel="00000000" w:rsidR="00000000" w:rsidRPr="00000000">
              <w:rPr>
                <w:rtl w:val="0"/>
              </w:rPr>
            </w:r>
          </w:p>
        </w:tc>
      </w:tr>
      <w:tr>
        <w:trPr>
          <w:cantSplit w:val="0"/>
          <w:tblHeader w:val="0"/>
        </w:trPr>
        <w:tc>
          <w:tcPr>
            <w:shd w:fill="eaf0f8"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1b3a6b"/>
                <w:sz w:val="21"/>
                <w:szCs w:val="21"/>
                <w:rtl w:val="0"/>
              </w:rPr>
              <w:t xml:space="preserve">Fecha de entrega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sz w:val="21"/>
                <w:szCs w:val="21"/>
                <w:rtl w:val="0"/>
              </w:rPr>
              <w:t xml:space="preserve">[completar]</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Calibri" w:cs="Calibri" w:eastAsia="Calibri" w:hAnsi="Calibri"/>
          <w:b w:val="1"/>
          <w:bCs w:val="1"/>
          <w:color w:val="1b3a6b"/>
          <w:sz w:val="30"/>
          <w:szCs w:val="30"/>
          <w:rtl w:val="0"/>
        </w:rPr>
        <w:t xml:space="preserve">Índice</w:t>
      </w:r>
      <w:r w:rsidDel="00000000" w:rsidR="00000000" w:rsidRPr="00000000">
        <w:rPr>
          <w:rtl w:val="0"/>
        </w:rPr>
      </w:r>
    </w:p>
    <w:sdt>
      <w:sdtPr>
        <w:id w:val="1734195405"/>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Selección del Dominio del Negocio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Descripción del dominio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Problemática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Propuesta de valor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Fuentes de datos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Desarrollo de la Hipótesis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Hipótesis: qué proponemos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Audiencia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Cómo se resuelve la hipótesis para la entrega de valor</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Metodología de trabajo y organización del equipo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Enfoque metodológico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Roles del equipo</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140" w:before="320" w:lineRule="auto"/>
        <w:rPr/>
      </w:pPr>
      <w:r w:rsidDel="00000000" w:rsidR="00000000" w:rsidRPr="00000000">
        <w:rPr>
          <w:rFonts w:ascii="Calibri" w:cs="Calibri" w:eastAsia="Calibri" w:hAnsi="Calibri"/>
          <w:b w:val="1"/>
          <w:bCs w:val="1"/>
          <w:color w:val="1b3a6b"/>
          <w:sz w:val="30"/>
          <w:szCs w:val="30"/>
          <w:rtl w:val="0"/>
        </w:rPr>
        <w:t xml:space="preserve">1. Selección del Dominio del Negocio</w:t>
      </w:r>
      <w:r w:rsidDel="00000000" w:rsidR="00000000" w:rsidRPr="00000000">
        <w:rPr>
          <w:rtl w:val="0"/>
        </w:rPr>
      </w:r>
    </w:p>
    <w:p w:rsidR="00000000" w:rsidDel="00000000" w:rsidP="00000000" w:rsidRDefault="00000000" w:rsidRPr="00000000" w14:paraId="00000027">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1.1. Descripción del dominio</w:t>
      </w:r>
      <w:r w:rsidDel="00000000" w:rsidR="00000000" w:rsidRPr="00000000">
        <w:rPr>
          <w:rtl w:val="0"/>
        </w:rPr>
      </w:r>
    </w:p>
    <w:p w:rsidR="00000000" w:rsidDel="00000000" w:rsidP="00000000" w:rsidRDefault="00000000" w:rsidRPr="00000000" w14:paraId="00000028">
      <w:pPr>
        <w:spacing w:after="140" w:line="300" w:lineRule="auto"/>
        <w:jc w:val="both"/>
        <w:rPr/>
      </w:pPr>
      <w:r w:rsidDel="00000000" w:rsidR="00000000" w:rsidRPr="00000000">
        <w:rPr>
          <w:rFonts w:ascii="Calibri" w:cs="Calibri" w:eastAsia="Calibri" w:hAnsi="Calibri"/>
          <w:rtl w:val="0"/>
        </w:rPr>
        <w:t xml:space="preserve">Un centro de salud ambulatorio (clínica u hospital) atiende a sus pacientes mediante turnos programados. El circuito de atención es el siguiente: el paciente solicita un turno —de forma presencial, telefónica o web—, se le asigna una fecha y un horario con un profesional y, el día indicado, asiste a la consulta o no lo hace.</w:t>
      </w:r>
      <w:r w:rsidDel="00000000" w:rsidR="00000000" w:rsidRPr="00000000">
        <w:rPr>
          <w:rtl w:val="0"/>
        </w:rPr>
      </w:r>
    </w:p>
    <w:p w:rsidR="00000000" w:rsidDel="00000000" w:rsidP="00000000" w:rsidRDefault="00000000" w:rsidRPr="00000000" w14:paraId="00000029">
      <w:pPr>
        <w:spacing w:after="140" w:line="300" w:lineRule="auto"/>
        <w:jc w:val="both"/>
        <w:rPr/>
      </w:pPr>
      <w:r w:rsidDel="00000000" w:rsidR="00000000" w:rsidRPr="00000000">
        <w:rPr>
          <w:rFonts w:ascii="Calibri" w:cs="Calibri" w:eastAsia="Calibri" w:hAnsi="Calibri"/>
          <w:rtl w:val="0"/>
        </w:rPr>
        <w:t xml:space="preserve">La agenda del profesional constituye el recurso central del negocio: cada franja horaria tiene un costo fijo —el tiempo del médico— y una capacidad limitada. La gestión eficiente de esa agenda determina cuántos pacientes se atienden y con qué nivel de espera.</w:t>
      </w:r>
      <w:r w:rsidDel="00000000" w:rsidR="00000000" w:rsidRPr="00000000">
        <w:rPr>
          <w:rtl w:val="0"/>
        </w:rPr>
      </w:r>
    </w:p>
    <w:p w:rsidR="00000000" w:rsidDel="00000000" w:rsidP="00000000" w:rsidRDefault="00000000" w:rsidRPr="00000000" w14:paraId="0000002A">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1.2. Problemática</w:t>
      </w:r>
      <w:r w:rsidDel="00000000" w:rsidR="00000000" w:rsidRPr="00000000">
        <w:rPr>
          <w:rtl w:val="0"/>
        </w:rPr>
      </w:r>
    </w:p>
    <w:p w:rsidR="00000000" w:rsidDel="00000000" w:rsidP="00000000" w:rsidRDefault="00000000" w:rsidRPr="00000000" w14:paraId="0000002B">
      <w:pPr>
        <w:spacing w:after="140" w:line="300" w:lineRule="auto"/>
        <w:jc w:val="both"/>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ausentismo a turnos médicos</w:t>
      </w:r>
      <w:r w:rsidDel="00000000" w:rsidR="00000000" w:rsidRPr="00000000">
        <w:rPr>
          <w:rFonts w:ascii="Calibri" w:cs="Calibri" w:eastAsia="Calibri" w:hAnsi="Calibri"/>
          <w:rtl w:val="0"/>
        </w:rPr>
        <w:t xml:space="preserve"> (en inglés, </w:t>
      </w:r>
      <w:r w:rsidDel="00000000" w:rsidR="00000000" w:rsidRPr="00000000">
        <w:rPr>
          <w:rFonts w:ascii="Calibri" w:cs="Calibri" w:eastAsia="Calibri" w:hAnsi="Calibri"/>
          <w:i w:val="1"/>
          <w:iCs w:val="1"/>
          <w:rtl w:val="0"/>
        </w:rPr>
        <w:t xml:space="preserve">no-show</w:t>
      </w:r>
      <w:r w:rsidDel="00000000" w:rsidR="00000000" w:rsidRPr="00000000">
        <w:rPr>
          <w:rFonts w:ascii="Calibri" w:cs="Calibri" w:eastAsia="Calibri" w:hAnsi="Calibri"/>
          <w:rtl w:val="0"/>
        </w:rPr>
        <w:t xml:space="preserve">) ronda el </w:t>
      </w:r>
      <w:r w:rsidDel="00000000" w:rsidR="00000000" w:rsidRPr="00000000">
        <w:rPr>
          <w:rFonts w:ascii="Calibri" w:cs="Calibri" w:eastAsia="Calibri" w:hAnsi="Calibri"/>
          <w:b w:val="1"/>
          <w:bCs w:val="1"/>
          <w:rtl w:val="0"/>
        </w:rPr>
        <w:t xml:space="preserve">20–30 % </w:t>
      </w:r>
      <w:r w:rsidDel="00000000" w:rsidR="00000000" w:rsidRPr="00000000">
        <w:rPr>
          <w:rFonts w:ascii="Calibri" w:cs="Calibri" w:eastAsia="Calibri" w:hAnsi="Calibri"/>
          <w:rtl w:val="0"/>
        </w:rPr>
        <w:t xml:space="preserve">de los turnos otorgados. Cuando un paciente no asiste y no avisa con antelación, se producen dos efectos negativos simultáneos: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franja horaria queda ociosa: una hora del profesional que la institución igualmente debe afrontar.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Otro paciente que sí habría asistido no pudo ocupar ese lugar, lo que incrementa la lista de espera.</w:t>
      </w:r>
    </w:p>
    <w:p w:rsidR="00000000" w:rsidDel="00000000" w:rsidP="00000000" w:rsidRDefault="00000000" w:rsidRPr="00000000" w14:paraId="0000002E">
      <w:pPr>
        <w:spacing w:after="140" w:line="300" w:lineRule="auto"/>
        <w:jc w:val="both"/>
        <w:rPr/>
      </w:pPr>
      <w:r w:rsidDel="00000000" w:rsidR="00000000" w:rsidRPr="00000000">
        <w:rPr>
          <w:rFonts w:ascii="Calibri" w:cs="Calibri" w:eastAsia="Calibri" w:hAnsi="Calibri"/>
          <w:rtl w:val="0"/>
        </w:rPr>
        <w:t xml:space="preserve">Se trata, por lo tanto, de un </w:t>
      </w:r>
      <w:r w:rsidDel="00000000" w:rsidR="00000000" w:rsidRPr="00000000">
        <w:rPr>
          <w:rFonts w:ascii="Calibri" w:cs="Calibri" w:eastAsia="Calibri" w:hAnsi="Calibri"/>
          <w:b w:val="1"/>
          <w:bCs w:val="1"/>
          <w:rtl w:val="0"/>
        </w:rPr>
        <w:t xml:space="preserve">doble costo</w:t>
      </w:r>
      <w:r w:rsidDel="00000000" w:rsidR="00000000" w:rsidRPr="00000000">
        <w:rPr>
          <w:rFonts w:ascii="Calibri" w:cs="Calibri" w:eastAsia="Calibri" w:hAnsi="Calibri"/>
          <w:rtl w:val="0"/>
        </w:rPr>
        <w:t xml:space="preserve">: un recurso médico desperdiciado y un peor acceso a la atención para el resto de los pacientes. En la actualidad, la institución no dispone de información anticipada sobre quién faltará, de modo que no puede tomar ninguna acción preventiva.</w:t>
      </w:r>
      <w:r w:rsidDel="00000000" w:rsidR="00000000" w:rsidRPr="00000000">
        <w:rPr>
          <w:rtl w:val="0"/>
        </w:rPr>
      </w:r>
    </w:p>
    <w:p w:rsidR="00000000" w:rsidDel="00000000" w:rsidP="00000000" w:rsidRDefault="00000000" w:rsidRPr="00000000" w14:paraId="0000002F">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1.3. Propuesta de valor</w:t>
      </w:r>
      <w:r w:rsidDel="00000000" w:rsidR="00000000" w:rsidRPr="00000000">
        <w:rPr>
          <w:rtl w:val="0"/>
        </w:rPr>
      </w:r>
    </w:p>
    <w:p w:rsidR="00000000" w:rsidDel="00000000" w:rsidP="00000000" w:rsidRDefault="00000000" w:rsidRPr="00000000" w14:paraId="00000030">
      <w:pPr>
        <w:spacing w:after="140" w:line="300" w:lineRule="auto"/>
        <w:jc w:val="both"/>
        <w:rPr/>
      </w:pPr>
      <w:r w:rsidDel="00000000" w:rsidR="00000000" w:rsidRPr="00000000">
        <w:rPr>
          <w:rFonts w:ascii="Calibri" w:cs="Calibri" w:eastAsia="Calibri" w:hAnsi="Calibri"/>
          <w:rtl w:val="0"/>
        </w:rPr>
        <w:t xml:space="preserve">La propuesta consiste en predecir, en el momento mismo de agendar el turno, la probabilidad de que cada paciente falte, con el fin de accionar sobre aquellos de mayor riesgo mediante: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Recordatorios dirigidos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(SMS o llamado telefónico) a los pacientes con mayor probabilidad de ausentarse.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Sobreturnos controlados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las franjas horarias de alto riesgo de ausentismo.</w:t>
      </w:r>
    </w:p>
    <w:p w:rsidR="00000000" w:rsidDel="00000000" w:rsidP="00000000" w:rsidRDefault="00000000" w:rsidRPr="00000000" w14:paraId="00000033">
      <w:pPr>
        <w:spacing w:after="140" w:line="300" w:lineRule="auto"/>
        <w:jc w:val="both"/>
        <w:rPr/>
      </w:pPr>
      <w:r w:rsidDel="00000000" w:rsidR="00000000" w:rsidRPr="00000000">
        <w:rPr>
          <w:rFonts w:ascii="Calibri" w:cs="Calibri" w:eastAsia="Calibri" w:hAnsi="Calibri"/>
          <w:b w:val="1"/>
          <w:bCs w:val="1"/>
          <w:rtl w:val="0"/>
        </w:rPr>
        <w:t xml:space="preserve">Valor para el negocio: </w:t>
      </w:r>
      <w:r w:rsidDel="00000000" w:rsidR="00000000" w:rsidRPr="00000000">
        <w:rPr>
          <w:rFonts w:ascii="Calibri" w:cs="Calibri" w:eastAsia="Calibri" w:hAnsi="Calibri"/>
          <w:rtl w:val="0"/>
        </w:rPr>
        <w:t xml:space="preserve">reducción del ausentismo, mejor aprovechamiento de la agenda y disminución de la lista de espera, sin necesidad de incorporar recursos adicionales. Cada turno no perdido recupera una hora efectiva de atención.</w:t>
      </w:r>
      <w:r w:rsidDel="00000000" w:rsidR="00000000" w:rsidRPr="00000000">
        <w:rPr>
          <w:rtl w:val="0"/>
        </w:rPr>
      </w:r>
    </w:p>
    <w:p w:rsidR="00000000" w:rsidDel="00000000" w:rsidP="00000000" w:rsidRDefault="00000000" w:rsidRPr="00000000" w14:paraId="00000034">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1.4. Fuentes de datos</w:t>
      </w:r>
      <w:r w:rsidDel="00000000" w:rsidR="00000000" w:rsidRPr="00000000">
        <w:rPr>
          <w:rtl w:val="0"/>
        </w:rPr>
      </w:r>
    </w:p>
    <w:p w:rsidR="00000000" w:rsidDel="00000000" w:rsidP="00000000" w:rsidRDefault="00000000" w:rsidRPr="00000000" w14:paraId="00000035">
      <w:pPr>
        <w:spacing w:after="140" w:line="300" w:lineRule="auto"/>
        <w:jc w:val="both"/>
        <w:rPr/>
      </w:pPr>
      <w:r w:rsidDel="00000000" w:rsidR="00000000" w:rsidRPr="00000000">
        <w:rPr>
          <w:rFonts w:ascii="Calibri" w:cs="Calibri" w:eastAsia="Calibri" w:hAnsi="Calibri"/>
          <w:b w:val="1"/>
          <w:bCs w:val="1"/>
          <w:rtl w:val="0"/>
        </w:rPr>
        <w:t xml:space="preserve">Fuente principal — </w:t>
      </w:r>
      <w:r w:rsidDel="00000000" w:rsidR="00000000" w:rsidRPr="00000000">
        <w:rPr>
          <w:rFonts w:ascii="Calibri" w:cs="Calibri" w:eastAsia="Calibri" w:hAnsi="Calibri"/>
          <w:b w:val="1"/>
          <w:bCs w:val="1"/>
          <w:i w:val="1"/>
          <w:iCs w:val="1"/>
          <w:rtl w:val="0"/>
        </w:rPr>
        <w:t xml:space="preserve">Medical Appointment No Shows</w:t>
      </w:r>
      <w:r w:rsidDel="00000000" w:rsidR="00000000" w:rsidRPr="00000000">
        <w:rPr>
          <w:rFonts w:ascii="Calibri" w:cs="Calibri" w:eastAsia="Calibri" w:hAnsi="Calibri"/>
          <w:b w:val="1"/>
          <w:bCs w:val="1"/>
          <w:rtl w:val="0"/>
        </w:rPr>
        <w:t xml:space="preserve"> (Kaggle)</w:t>
      </w:r>
      <w:r w:rsidDel="00000000" w:rsidR="00000000" w:rsidRPr="00000000">
        <w:rPr>
          <w:rtl w:val="0"/>
        </w:rPr>
      </w:r>
    </w:p>
    <w:tbl>
      <w:tblPr>
        <w:tblStyle w:val="Table2"/>
        <w:tblW w:w="9360.0" w:type="dxa"/>
        <w:jc w:val="left"/>
        <w:tblBorders>
          <w:top w:color="aebed4" w:space="0" w:sz="3" w:val="single"/>
          <w:left w:color="aebed4" w:space="0" w:sz="3" w:val="single"/>
          <w:bottom w:color="aebed4" w:space="0" w:sz="3" w:val="single"/>
          <w:right w:color="aebed4" w:space="0" w:sz="3" w:val="single"/>
          <w:insideH w:color="aebed4" w:space="0" w:sz="3" w:val="single"/>
          <w:insideV w:color="aebed4" w:space="0" w:sz="3" w:val="single"/>
        </w:tblBorders>
        <w:tblLayout w:type="fixed"/>
        <w:tblLook w:val="0000"/>
      </w:tblPr>
      <w:tblGrid>
        <w:gridCol w:w="2505"/>
        <w:gridCol w:w="6855"/>
        <w:tblGridChange w:id="0">
          <w:tblGrid>
            <w:gridCol w:w="2505"/>
            <w:gridCol w:w="6855"/>
          </w:tblGrid>
        </w:tblGridChange>
      </w:tblGrid>
      <w:tr>
        <w:trPr>
          <w:cantSplit w:val="0"/>
          <w:tblHeader w:val="0"/>
        </w:trPr>
        <w:tc>
          <w:tcPr>
            <w:shd w:fill="1b3a6b" w:val="clear"/>
            <w:tcMar>
              <w:top w:w="70.0" w:type="dxa"/>
              <w:left w:w="120.0" w:type="dxa"/>
              <w:bottom w:w="70.0" w:type="dxa"/>
              <w:right w:w="12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ffffff"/>
                <w:sz w:val="21"/>
                <w:szCs w:val="21"/>
                <w:rtl w:val="0"/>
              </w:rPr>
              <w:t xml:space="preserve">Atributo</w:t>
            </w:r>
            <w:r w:rsidDel="00000000" w:rsidR="00000000" w:rsidRPr="00000000">
              <w:rPr>
                <w:rtl w:val="0"/>
              </w:rPr>
            </w:r>
          </w:p>
        </w:tc>
        <w:tc>
          <w:tcPr>
            <w:shd w:fill="1b3a6b" w:val="clear"/>
            <w:tcMar>
              <w:top w:w="70.0" w:type="dxa"/>
              <w:left w:w="120.0" w:type="dxa"/>
              <w:bottom w:w="70.0" w:type="dxa"/>
              <w:right w:w="12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ffffff"/>
                <w:sz w:val="21"/>
                <w:szCs w:val="21"/>
                <w:rtl w:val="0"/>
              </w:rPr>
              <w:t xml:space="preserve">Detalle</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000000"/>
                <w:sz w:val="21"/>
                <w:szCs w:val="21"/>
                <w:rtl w:val="0"/>
              </w:rPr>
              <w:t xml:space="preserve">Origen</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color w:val="000000"/>
                <w:sz w:val="21"/>
                <w:szCs w:val="21"/>
                <w:rtl w:val="0"/>
              </w:rPr>
              <w:t xml:space="preserve">Kaggle — registros reales de turnos de salud pública de Brasil.</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000000"/>
                <w:sz w:val="21"/>
                <w:szCs w:val="21"/>
                <w:rtl w:val="0"/>
              </w:rPr>
              <w:t xml:space="preserve">Volumen</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color w:val="000000"/>
                <w:sz w:val="21"/>
                <w:szCs w:val="21"/>
                <w:rtl w:val="0"/>
              </w:rPr>
              <w:t xml:space="preserve">110.527 turnos (filas); 20,2 % de ausentismo (22.319 no-show).</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000000"/>
                <w:sz w:val="21"/>
                <w:szCs w:val="21"/>
                <w:rtl w:val="0"/>
              </w:rPr>
              <w:t xml:space="preserve">Variables (14)</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color w:val="000000"/>
                <w:sz w:val="21"/>
                <w:szCs w:val="21"/>
                <w:rtl w:val="0"/>
              </w:rPr>
              <w:t xml:space="preserve">Edad, género, barrio, fechas de agendamiento y de turno, comorbilidades (diabetes, hipertensión, alcoholismo, discapacidad), recepción de SMS, beca social y la variable objetivo: asistió / no asistió.</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000000"/>
                <w:sz w:val="21"/>
                <w:szCs w:val="21"/>
                <w:rtl w:val="0"/>
              </w:rPr>
              <w:t xml:space="preserve">Justificación</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color w:val="000000"/>
                <w:sz w:val="21"/>
                <w:szCs w:val="21"/>
                <w:rtl w:val="0"/>
              </w:rPr>
              <w:t xml:space="preserve">Conjunto de datos limpio, masivo y documentado, con la variable a predecir ya etiquetada. Combina variables categóricas y numéricas, lo que habilita el análisis exploratorio y la ingeniería de características.</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spacing w:after="140" w:line="300" w:lineRule="auto"/>
        <w:jc w:val="both"/>
        <w:rPr/>
      </w:pPr>
      <w:r w:rsidDel="00000000" w:rsidR="00000000" w:rsidRPr="00000000">
        <w:rPr>
          <w:rFonts w:ascii="Calibri" w:cs="Calibri" w:eastAsia="Calibri" w:hAnsi="Calibri"/>
          <w:b w:val="1"/>
          <w:bCs w:val="1"/>
          <w:rtl w:val="0"/>
        </w:rPr>
        <w:t xml:space="preserve">Fuente secundaria — Clima por fecha (expectativa superadora)</w:t>
      </w:r>
      <w:r w:rsidDel="00000000" w:rsidR="00000000" w:rsidRPr="00000000">
        <w:rPr>
          <w:rtl w:val="0"/>
        </w:rPr>
      </w:r>
    </w:p>
    <w:tbl>
      <w:tblPr>
        <w:tblStyle w:val="Table3"/>
        <w:tblW w:w="9375.0" w:type="dxa"/>
        <w:jc w:val="left"/>
        <w:tblBorders>
          <w:top w:color="aebed4" w:space="0" w:sz="3" w:val="single"/>
          <w:left w:color="aebed4" w:space="0" w:sz="3" w:val="single"/>
          <w:bottom w:color="aebed4" w:space="0" w:sz="3" w:val="single"/>
          <w:right w:color="aebed4" w:space="0" w:sz="3" w:val="single"/>
          <w:insideH w:color="aebed4" w:space="0" w:sz="3" w:val="single"/>
          <w:insideV w:color="aebed4" w:space="0" w:sz="3" w:val="single"/>
        </w:tblBorders>
        <w:tblLayout w:type="fixed"/>
        <w:tblLook w:val="0000"/>
      </w:tblPr>
      <w:tblGrid>
        <w:gridCol w:w="2535"/>
        <w:gridCol w:w="6840"/>
        <w:tblGridChange w:id="0">
          <w:tblGrid>
            <w:gridCol w:w="2535"/>
            <w:gridCol w:w="6840"/>
          </w:tblGrid>
        </w:tblGridChange>
      </w:tblGrid>
      <w:tr>
        <w:trPr>
          <w:cantSplit w:val="0"/>
          <w:tblHeader w:val="0"/>
        </w:trPr>
        <w:tc>
          <w:tcPr>
            <w:shd w:fill="1b3a6b" w:val="clear"/>
            <w:tcMar>
              <w:top w:w="70.0" w:type="dxa"/>
              <w:left w:w="120.0" w:type="dxa"/>
              <w:bottom w:w="70.0" w:type="dxa"/>
              <w:right w:w="12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ffffff"/>
                <w:sz w:val="21"/>
                <w:szCs w:val="21"/>
                <w:rtl w:val="0"/>
              </w:rPr>
              <w:t xml:space="preserve">Atributo</w:t>
            </w:r>
            <w:r w:rsidDel="00000000" w:rsidR="00000000" w:rsidRPr="00000000">
              <w:rPr>
                <w:rtl w:val="0"/>
              </w:rPr>
            </w:r>
          </w:p>
        </w:tc>
        <w:tc>
          <w:tcPr>
            <w:shd w:fill="1b3a6b" w:val="clear"/>
            <w:tcMar>
              <w:top w:w="70.0" w:type="dxa"/>
              <w:left w:w="120.0" w:type="dxa"/>
              <w:bottom w:w="70.0" w:type="dxa"/>
              <w:right w:w="12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ffffff"/>
                <w:sz w:val="21"/>
                <w:szCs w:val="21"/>
                <w:rtl w:val="0"/>
              </w:rPr>
              <w:t xml:space="preserve">Detalle</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000000"/>
                <w:sz w:val="21"/>
                <w:szCs w:val="21"/>
                <w:rtl w:val="0"/>
              </w:rPr>
              <w:t xml:space="preserve">Origen</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color w:val="000000"/>
                <w:sz w:val="21"/>
                <w:szCs w:val="21"/>
                <w:rtl w:val="0"/>
              </w:rPr>
              <w:t xml:space="preserve">INMET (Brasil) — clima horario 2016, estación A612 (Vitória, ES), agregado a nivel diario.</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b w:val="1"/>
                <w:bCs w:val="1"/>
                <w:color w:val="000000"/>
                <w:sz w:val="21"/>
                <w:szCs w:val="21"/>
                <w:rtl w:val="0"/>
              </w:rPr>
              <w:t xml:space="preserve">Integración</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color w:val="000000"/>
                <w:sz w:val="21"/>
                <w:szCs w:val="21"/>
                <w:rtl w:val="0"/>
              </w:rPr>
              <w:t xml:space="preserve">Se cruza por la fecha del turno —dato ya presente en la fuente principal—, por lo que la integración es directa.</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000000"/>
                <w:sz w:val="21"/>
                <w:szCs w:val="21"/>
                <w:rtl w:val="0"/>
              </w:rPr>
              <w:t xml:space="preserve">Justificación</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color w:val="000000"/>
                <w:sz w:val="21"/>
                <w:szCs w:val="21"/>
                <w:rtl w:val="0"/>
              </w:rPr>
              <w:t xml:space="preserve">Permite analizar si la lluvia o la temperatura inciden en el ausentismo, y satisface el requisito superador de utilizar varias fuentes de datos distintas.</w:t>
            </w:r>
            <w:r w:rsidDel="00000000" w:rsidR="00000000" w:rsidRPr="00000000">
              <w:rPr>
                <w:rtl w:val="0"/>
              </w:rPr>
            </w:r>
          </w:p>
        </w:tc>
      </w:tr>
    </w:tbl>
    <w:p w:rsidR="00000000" w:rsidDel="00000000" w:rsidP="00000000" w:rsidRDefault="00000000" w:rsidRPr="00000000" w14:paraId="0000004A">
      <w:pPr>
        <w:pStyle w:val="Heading1"/>
        <w:spacing w:after="140" w:before="320" w:lineRule="auto"/>
        <w:rPr/>
      </w:pPr>
      <w:r w:rsidDel="00000000" w:rsidR="00000000" w:rsidRPr="00000000">
        <w:rPr>
          <w:rFonts w:ascii="Calibri" w:cs="Calibri" w:eastAsia="Calibri" w:hAnsi="Calibri"/>
          <w:b w:val="1"/>
          <w:bCs w:val="1"/>
          <w:color w:val="1b3a6b"/>
          <w:sz w:val="30"/>
          <w:szCs w:val="30"/>
          <w:rtl w:val="0"/>
        </w:rPr>
        <w:t xml:space="preserve">2. Desarrollo de la Hipótesis</w:t>
      </w:r>
      <w:r w:rsidDel="00000000" w:rsidR="00000000" w:rsidRPr="00000000">
        <w:rPr>
          <w:rtl w:val="0"/>
        </w:rPr>
      </w:r>
    </w:p>
    <w:p w:rsidR="00000000" w:rsidDel="00000000" w:rsidP="00000000" w:rsidRDefault="00000000" w:rsidRPr="00000000" w14:paraId="0000004B">
      <w:pPr>
        <w:spacing w:after="140" w:line="300" w:lineRule="auto"/>
        <w:jc w:val="both"/>
        <w:rPr/>
      </w:pPr>
      <w:r w:rsidDel="00000000" w:rsidR="00000000" w:rsidRPr="00000000">
        <w:rPr>
          <w:rFonts w:ascii="Calibri" w:cs="Calibri" w:eastAsia="Calibri" w:hAnsi="Calibri"/>
          <w:rtl w:val="0"/>
        </w:rPr>
        <w:t xml:space="preserve">Definidos el dominio y las fuentes de datos, se plantea a continuación la pregunta concreta que el proyecto busca responder y el modo en que esa respuesta se traduce en valor para la organización.</w:t>
      </w:r>
      <w:r w:rsidDel="00000000" w:rsidR="00000000" w:rsidRPr="00000000">
        <w:rPr>
          <w:rtl w:val="0"/>
        </w:rPr>
      </w:r>
    </w:p>
    <w:p w:rsidR="00000000" w:rsidDel="00000000" w:rsidP="00000000" w:rsidRDefault="00000000" w:rsidRPr="00000000" w14:paraId="0000004C">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2.1. Hipótesis: qué proponemos resolver</w:t>
      </w:r>
      <w:r w:rsidDel="00000000" w:rsidR="00000000" w:rsidRPr="00000000">
        <w:rPr>
          <w:rtl w:val="0"/>
        </w:rPr>
      </w:r>
    </w:p>
    <w:p w:rsidR="00000000" w:rsidDel="00000000" w:rsidP="00000000" w:rsidRDefault="00000000" w:rsidRPr="00000000" w14:paraId="0000004D">
      <w:pPr>
        <w:pBdr>
          <w:left w:color="1b3a6b" w:space="12" w:sz="18" w:val="single"/>
        </w:pBdr>
        <w:spacing w:after="160" w:before="60" w:line="300" w:lineRule="auto"/>
        <w:ind w:left="360" w:firstLine="0"/>
        <w:jc w:val="both"/>
        <w:rPr/>
      </w:pPr>
      <w:r w:rsidDel="00000000" w:rsidR="00000000" w:rsidRPr="00000000">
        <w:rPr>
          <w:rFonts w:ascii="Calibri" w:cs="Calibri" w:eastAsia="Calibri" w:hAnsi="Calibri"/>
          <w:i w:val="1"/>
          <w:iCs w:val="1"/>
          <w:rtl w:val="0"/>
        </w:rPr>
        <w:t xml:space="preserve">Es posible predecir, en el momento en que se agenda un turno, qué pacientes faltarán a la consulta a partir de sus características y del contexto del turno; y utilizar esa predicción para reducir el costo del ausentismo mediante recordatorios dirigidos y la asignación de sobreturnos.</w:t>
      </w:r>
      <w:r w:rsidDel="00000000" w:rsidR="00000000" w:rsidRPr="00000000">
        <w:rPr>
          <w:rtl w:val="0"/>
        </w:rPr>
      </w:r>
    </w:p>
    <w:p w:rsidR="00000000" w:rsidDel="00000000" w:rsidP="00000000" w:rsidRDefault="00000000" w:rsidRPr="00000000" w14:paraId="0000004E">
      <w:pPr>
        <w:spacing w:after="140" w:line="300" w:lineRule="auto"/>
        <w:jc w:val="both"/>
        <w:rPr/>
      </w:pPr>
      <w:r w:rsidDel="00000000" w:rsidR="00000000" w:rsidRPr="00000000">
        <w:rPr>
          <w:rFonts w:ascii="Calibri" w:cs="Calibri" w:eastAsia="Calibri" w:hAnsi="Calibri"/>
          <w:rtl w:val="0"/>
        </w:rPr>
        <w:t xml:space="preserve">La hipótesis es verificable: el modelo predictivo entregará, para cada turno, una probabilidad de ausencia que podrá contrastarse contra lo efectivamente ocurrido, y cuyo acierto se medirá con métricas objetivas (véase sección 2.3).</w:t>
      </w:r>
      <w:r w:rsidDel="00000000" w:rsidR="00000000" w:rsidRPr="00000000">
        <w:rPr>
          <w:rtl w:val="0"/>
        </w:rPr>
      </w:r>
    </w:p>
    <w:p w:rsidR="00000000" w:rsidDel="00000000" w:rsidP="00000000" w:rsidRDefault="00000000" w:rsidRPr="00000000" w14:paraId="0000004F">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2.2. Audiencia</w:t>
      </w:r>
      <w:r w:rsidDel="00000000" w:rsidR="00000000" w:rsidRPr="00000000">
        <w:rPr>
          <w:rtl w:val="0"/>
        </w:rPr>
      </w:r>
    </w:p>
    <w:p w:rsidR="00000000" w:rsidDel="00000000" w:rsidP="00000000" w:rsidRDefault="00000000" w:rsidRPr="00000000" w14:paraId="00000050">
      <w:pPr>
        <w:spacing w:after="140" w:line="300" w:lineRule="auto"/>
        <w:jc w:val="both"/>
        <w:rPr/>
      </w:pPr>
      <w:r w:rsidDel="00000000" w:rsidR="00000000" w:rsidRPr="00000000">
        <w:rPr>
          <w:rFonts w:ascii="Calibri" w:cs="Calibri" w:eastAsia="Calibri" w:hAnsi="Calibri"/>
          <w:rtl w:val="0"/>
        </w:rPr>
        <w:t xml:space="preserve">Conforme a la consigna, la audiencia del trabajo es la Gerencia Comercial y Técnica. El mensaje se adapta a cada una: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Gerencia Comercial: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enfatiza el impacto en el aprovechamiento de la agenda, los ingresos recuperados por hora-profesional, la reducción de la lista de espera y la mejora en el acceso de los pacientes.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Gerencia Técnica: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detalla el modelo de minería empleado, el pipeline de datos que lo alimenta y las métricas que garantizan la confiabilidad de la predicción.</w:t>
      </w:r>
    </w:p>
    <w:p w:rsidR="00000000" w:rsidDel="00000000" w:rsidP="00000000" w:rsidRDefault="00000000" w:rsidRPr="00000000" w14:paraId="00000053">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2.3. Cómo se resuelve la hipótesis para la entrega de valor</w:t>
      </w:r>
      <w:r w:rsidDel="00000000" w:rsidR="00000000" w:rsidRPr="00000000">
        <w:rPr>
          <w:rtl w:val="0"/>
        </w:rPr>
      </w:r>
    </w:p>
    <w:p w:rsidR="00000000" w:rsidDel="00000000" w:rsidP="00000000" w:rsidRDefault="00000000" w:rsidRPr="00000000" w14:paraId="00000054">
      <w:pPr>
        <w:spacing w:after="140" w:line="300" w:lineRule="auto"/>
        <w:jc w:val="both"/>
        <w:rPr/>
      </w:pPr>
      <w:r w:rsidDel="00000000" w:rsidR="00000000" w:rsidRPr="00000000">
        <w:rPr>
          <w:rFonts w:ascii="Calibri" w:cs="Calibri" w:eastAsia="Calibri" w:hAnsi="Calibri"/>
          <w:rtl w:val="0"/>
        </w:rPr>
        <w:t xml:space="preserve">La resolución se apoya en una técnica de aprendizaje supervisado de las estudiadas en la asignatura: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Técnica: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clasificación binaria (asiste / no asiste) mediante árboles de decisión y Random Forest. La variable objetivo es categórica de dos clases, lo que encuadra el problema como clasificación.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dado que las clases están desbalanceadas (aproximadamente 80 % de asistencia frente a 20 % de ausencia), el desempeño se mide con precision, recall, F1 y AUC, y no únicamente con accuracy —una métrica que, ante este desbalanceo, resultaría engañosa.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 de valor: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devuelve una probabilidad de ausencia por turno; sobre ella, la aplicación funcional recomienda la acción correspondiente (recordatorio o sobreturno). Cada turno no perdido recupera una hora efectiva de atención, materializando el valor propuesto para el negocio.</w:t>
      </w:r>
    </w:p>
    <w:p w:rsidR="00000000" w:rsidDel="00000000" w:rsidP="00000000" w:rsidRDefault="00000000" w:rsidRPr="00000000" w14:paraId="00000058">
      <w:pPr>
        <w:pBdr>
          <w:left w:color="1b3a6b" w:space="12" w:sz="18" w:val="single"/>
        </w:pBdr>
        <w:spacing w:after="0" w:before="120" w:lineRule="auto"/>
        <w:ind w:left="360" w:firstLine="0"/>
        <w:jc w:val="both"/>
        <w:rPr/>
      </w:pPr>
      <w:r w:rsidDel="00000000" w:rsidR="00000000" w:rsidRPr="00000000">
        <w:rPr>
          <w:rFonts w:ascii="Calibri" w:cs="Calibri" w:eastAsia="Calibri" w:hAnsi="Calibri"/>
          <w:b w:val="1"/>
          <w:bCs w:val="1"/>
          <w:color w:val="1b3a6b"/>
          <w:rtl w:val="0"/>
        </w:rPr>
        <w:t xml:space="preserve">Coherencia hipótesis–conclusión: </w:t>
      </w:r>
      <w:r w:rsidDel="00000000" w:rsidR="00000000" w:rsidRPr="00000000">
        <w:rPr>
          <w:rFonts w:ascii="Calibri" w:cs="Calibri" w:eastAsia="Calibri" w:hAnsi="Calibri"/>
          <w:i w:val="1"/>
          <w:iCs w:val="1"/>
          <w:rtl w:val="0"/>
        </w:rPr>
        <w:t xml:space="preserve">la métrica del modelo responde de forma directa a la hipótesis planteada, criterio que la consigna evalúa explícitamente.</w:t>
      </w:r>
      <w:r w:rsidDel="00000000" w:rsidR="00000000" w:rsidRPr="00000000">
        <w:rPr>
          <w:rtl w:val="0"/>
        </w:rPr>
      </w:r>
    </w:p>
    <w:p w:rsidR="00000000" w:rsidDel="00000000" w:rsidP="00000000" w:rsidRDefault="00000000" w:rsidRPr="00000000" w14:paraId="00000059">
      <w:pPr>
        <w:pStyle w:val="Heading1"/>
        <w:spacing w:after="140" w:before="320" w:lineRule="auto"/>
        <w:rPr/>
      </w:pPr>
      <w:r w:rsidDel="00000000" w:rsidR="00000000" w:rsidRPr="00000000">
        <w:rPr>
          <w:rFonts w:ascii="Calibri" w:cs="Calibri" w:eastAsia="Calibri" w:hAnsi="Calibri"/>
          <w:b w:val="1"/>
          <w:bCs w:val="1"/>
          <w:color w:val="1b3a6b"/>
          <w:sz w:val="30"/>
          <w:szCs w:val="30"/>
          <w:rtl w:val="0"/>
        </w:rPr>
        <w:t xml:space="preserve">3. Metodología de trabajo y organización del equipo</w:t>
      </w:r>
      <w:r w:rsidDel="00000000" w:rsidR="00000000" w:rsidRPr="00000000">
        <w:rPr>
          <w:rtl w:val="0"/>
        </w:rPr>
      </w:r>
    </w:p>
    <w:p w:rsidR="00000000" w:rsidDel="00000000" w:rsidP="00000000" w:rsidRDefault="00000000" w:rsidRPr="00000000" w14:paraId="0000005A">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3.1. Enfoque metodológico</w:t>
      </w:r>
      <w:r w:rsidDel="00000000" w:rsidR="00000000" w:rsidRPr="00000000">
        <w:rPr>
          <w:rtl w:val="0"/>
        </w:rPr>
      </w:r>
    </w:p>
    <w:p w:rsidR="00000000" w:rsidDel="00000000" w:rsidP="00000000" w:rsidRDefault="00000000" w:rsidRPr="00000000" w14:paraId="0000005B">
      <w:pPr>
        <w:spacing w:after="140" w:line="300" w:lineRule="auto"/>
        <w:jc w:val="both"/>
        <w:rPr/>
      </w:pPr>
      <w:r w:rsidDel="00000000" w:rsidR="00000000" w:rsidRPr="00000000">
        <w:rPr>
          <w:rFonts w:ascii="Calibri" w:cs="Calibri" w:eastAsia="Calibri" w:hAnsi="Calibri"/>
          <w:rtl w:val="0"/>
        </w:rPr>
        <w:t xml:space="preserve">El proyecto combina una metodología de ciencia de datos con una metodología ágil de gestión: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Proceso de minería de datos — CRISP-DM: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trabajo recorre sus fases (comprensión del negocio, comprensión de los datos, preparación, modelado, evaluación y despliegue), que se corresponden con las secciones de este proyecto.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del proyecto — metodología ágil: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adopta un enfoque iterativo basado en Kanban (tablero To Do / Doing / Done en GitHub Projects), con iteraciones cortas alineadas a las entregas parciales de la cátedra para revisar avances y reencauzar el trabajo.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Versionado — GitHub: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el código del proyecto de datos (notebook de EDA y modelado, y la aplicación funcional) se versiona en un repositorio de GitHub, con commits descriptivos y trabajo por ramas.</w:t>
      </w:r>
    </w:p>
    <w:p w:rsidR="00000000" w:rsidDel="00000000" w:rsidP="00000000" w:rsidRDefault="00000000" w:rsidRPr="00000000" w14:paraId="0000005F">
      <w:pPr>
        <w:spacing w:after="140" w:line="300" w:lineRule="auto"/>
        <w:jc w:val="both"/>
        <w:rPr/>
      </w:pPr>
      <w:r w:rsidDel="00000000" w:rsidR="00000000" w:rsidRPr="00000000">
        <w:rPr>
          <w:rFonts w:ascii="Calibri" w:cs="Calibri" w:eastAsia="Calibri" w:hAnsi="Calibri"/>
          <w:rtl w:val="0"/>
        </w:rPr>
        <w:t xml:space="preserve">Esta combinación responde a las expectativas superadoras de la consigna (administración del proyecto con metodologías ágiles y versionado del código).</w:t>
      </w:r>
      <w:r w:rsidDel="00000000" w:rsidR="00000000" w:rsidRPr="00000000">
        <w:rPr>
          <w:rtl w:val="0"/>
        </w:rPr>
      </w:r>
    </w:p>
    <w:p w:rsidR="00000000" w:rsidDel="00000000" w:rsidP="00000000" w:rsidRDefault="00000000" w:rsidRPr="00000000" w14:paraId="00000060">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3.2. Roles del equipo</w:t>
      </w:r>
      <w:r w:rsidDel="00000000" w:rsidR="00000000" w:rsidRPr="00000000">
        <w:rPr>
          <w:rtl w:val="0"/>
        </w:rPr>
      </w:r>
    </w:p>
    <w:p w:rsidR="00000000" w:rsidDel="00000000" w:rsidP="00000000" w:rsidRDefault="00000000" w:rsidRPr="00000000" w14:paraId="00000061">
      <w:pPr>
        <w:spacing w:after="140" w:line="300" w:lineRule="auto"/>
        <w:jc w:val="both"/>
        <w:rPr/>
      </w:pPr>
      <w:r w:rsidDel="00000000" w:rsidR="00000000" w:rsidRPr="00000000">
        <w:rPr>
          <w:rFonts w:ascii="Calibri" w:cs="Calibri" w:eastAsia="Calibri" w:hAnsi="Calibri"/>
          <w:rtl w:val="0"/>
        </w:rPr>
        <w:t xml:space="preserve">Cada integrante asume un rol específico y expone su área de influencia durante la presentación, conforme lo exige la consigna. Los roles propuestos son:</w:t>
      </w:r>
      <w:r w:rsidDel="00000000" w:rsidR="00000000" w:rsidRPr="00000000">
        <w:rPr>
          <w:rtl w:val="0"/>
        </w:rPr>
      </w:r>
    </w:p>
    <w:tbl>
      <w:tblPr>
        <w:tblStyle w:val="Table4"/>
        <w:tblW w:w="9465.0" w:type="dxa"/>
        <w:jc w:val="left"/>
        <w:tblBorders>
          <w:top w:color="aebed4" w:space="0" w:sz="3" w:val="single"/>
          <w:left w:color="aebed4" w:space="0" w:sz="3" w:val="single"/>
          <w:bottom w:color="aebed4" w:space="0" w:sz="3" w:val="single"/>
          <w:right w:color="aebed4" w:space="0" w:sz="3" w:val="single"/>
          <w:insideH w:color="aebed4" w:space="0" w:sz="3" w:val="single"/>
          <w:insideV w:color="aebed4" w:space="0" w:sz="3" w:val="single"/>
        </w:tblBorders>
        <w:tblLayout w:type="fixed"/>
        <w:tblLook w:val="0000"/>
      </w:tblPr>
      <w:tblGrid>
        <w:gridCol w:w="2175"/>
        <w:gridCol w:w="4215"/>
        <w:gridCol w:w="3075"/>
        <w:tblGridChange w:id="0">
          <w:tblGrid>
            <w:gridCol w:w="2175"/>
            <w:gridCol w:w="4215"/>
            <w:gridCol w:w="3075"/>
          </w:tblGrid>
        </w:tblGridChange>
      </w:tblGrid>
      <w:tr>
        <w:trPr>
          <w:cantSplit w:val="0"/>
          <w:tblHeader w:val="0"/>
        </w:trPr>
        <w:tc>
          <w:tcPr>
            <w:shd w:fill="1b3a6b" w:val="clear"/>
            <w:tcMar>
              <w:top w:w="70.0" w:type="dxa"/>
              <w:left w:w="120.0" w:type="dxa"/>
              <w:bottom w:w="70.0" w:type="dxa"/>
              <w:right w:w="12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sz w:val="21"/>
                <w:szCs w:val="21"/>
                <w:rtl w:val="0"/>
              </w:rPr>
              <w:t xml:space="preserve">Rol</w:t>
            </w:r>
            <w:r w:rsidDel="00000000" w:rsidR="00000000" w:rsidRPr="00000000">
              <w:rPr>
                <w:rtl w:val="0"/>
              </w:rPr>
            </w:r>
          </w:p>
        </w:tc>
        <w:tc>
          <w:tcPr>
            <w:shd w:fill="1b3a6b" w:val="clear"/>
            <w:tcMar>
              <w:top w:w="70.0" w:type="dxa"/>
              <w:left w:w="120.0" w:type="dxa"/>
              <w:bottom w:w="70.0" w:type="dxa"/>
              <w:right w:w="12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ffffff"/>
                <w:sz w:val="21"/>
                <w:szCs w:val="21"/>
                <w:rtl w:val="0"/>
              </w:rPr>
              <w:t xml:space="preserve">Responsabilidad</w:t>
            </w:r>
            <w:r w:rsidDel="00000000" w:rsidR="00000000" w:rsidRPr="00000000">
              <w:rPr>
                <w:rtl w:val="0"/>
              </w:rPr>
            </w:r>
          </w:p>
        </w:tc>
        <w:tc>
          <w:tcPr>
            <w:shd w:fill="1b3a6b" w:val="clear"/>
            <w:tcMar>
              <w:top w:w="70.0" w:type="dxa"/>
              <w:left w:w="120.0" w:type="dxa"/>
              <w:bottom w:w="70.0" w:type="dxa"/>
              <w:right w:w="12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b w:val="1"/>
                <w:bCs w:val="1"/>
                <w:color w:val="ffffff"/>
                <w:sz w:val="21"/>
                <w:szCs w:val="21"/>
                <w:rtl w:val="0"/>
              </w:rPr>
              <w:t xml:space="preserve">Integrante</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000000"/>
                <w:sz w:val="21"/>
                <w:szCs w:val="21"/>
                <w:rtl w:val="0"/>
              </w:rPr>
              <w:t xml:space="preserve">Líder de proyecto</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color w:val="000000"/>
                <w:sz w:val="21"/>
                <w:szCs w:val="21"/>
                <w:rtl w:val="0"/>
              </w:rPr>
              <w:t xml:space="preserve">Coordina el equipo y la metodología ágil; expone el dominio, la problemática y la propuesta de valor.</w:t>
            </w:r>
            <w:r w:rsidDel="00000000" w:rsidR="00000000" w:rsidRPr="00000000">
              <w:rPr>
                <w:rtl w:val="0"/>
              </w:rPr>
            </w:r>
          </w:p>
        </w:tc>
        <w:tc>
          <w:tcPr>
            <w:shd w:fill="eaf0f8" w:val="clear"/>
            <w:tcMar>
              <w:top w:w="70.0" w:type="dxa"/>
              <w:left w:w="120.0" w:type="dxa"/>
              <w:bottom w:w="70.0" w:type="dxa"/>
              <w:right w:w="12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color w:val="000000"/>
                <w:sz w:val="21"/>
                <w:szCs w:val="21"/>
                <w:rtl w:val="0"/>
              </w:rPr>
              <w:t xml:space="preserve">[Nombre]</w:t>
            </w:r>
            <w:r w:rsidDel="00000000" w:rsidR="00000000" w:rsidRPr="00000000">
              <w:rPr>
                <w:rtl w:val="0"/>
              </w:rPr>
            </w:r>
          </w:p>
        </w:tc>
      </w:tr>
      <w:tr>
        <w:trPr>
          <w:cantSplit w:val="0"/>
          <w:tblHeader w:val="0"/>
        </w:trPr>
        <w:tc>
          <w:tcPr>
            <w:tcMar>
              <w:top w:w="70.0" w:type="dxa"/>
              <w:left w:w="120.0" w:type="dxa"/>
              <w:bottom w:w="70.0" w:type="dxa"/>
              <w:right w:w="12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000000"/>
                <w:sz w:val="21"/>
                <w:szCs w:val="21"/>
                <w:rtl w:val="0"/>
              </w:rPr>
              <w:t xml:space="preserve">Ingeniero de datos</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color w:val="000000"/>
                <w:sz w:val="21"/>
                <w:szCs w:val="21"/>
                <w:rtl w:val="0"/>
              </w:rPr>
              <w:t xml:space="preserve">Selección e ingesta de fuentes (Kaggle y fuente secundaria), limpieza y construcción del pipeline de datos.</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color w:val="000000"/>
                <w:sz w:val="21"/>
                <w:szCs w:val="21"/>
                <w:rtl w:val="0"/>
              </w:rPr>
              <w:t xml:space="preserve">[Nombre]</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000000"/>
                <w:sz w:val="21"/>
                <w:szCs w:val="21"/>
                <w:rtl w:val="0"/>
              </w:rPr>
              <w:t xml:space="preserve">Analista de datos (EDA)</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color w:val="000000"/>
                <w:sz w:val="21"/>
                <w:szCs w:val="21"/>
                <w:rtl w:val="0"/>
              </w:rPr>
              <w:t xml:space="preserve">Análisis exploratorio, control de calidad de datos y visualizaciones descriptivas.</w:t>
            </w:r>
            <w:r w:rsidDel="00000000" w:rsidR="00000000" w:rsidRPr="00000000">
              <w:rPr>
                <w:rtl w:val="0"/>
              </w:rPr>
            </w:r>
          </w:p>
        </w:tc>
        <w:tc>
          <w:tcPr>
            <w:shd w:fill="eaf0f8" w:val="clear"/>
            <w:tcMar>
              <w:top w:w="70.0" w:type="dxa"/>
              <w:left w:w="120.0" w:type="dxa"/>
              <w:bottom w:w="70.0" w:type="dxa"/>
              <w:right w:w="120.0" w:type="dxa"/>
            </w:tcMar>
            <w:vAlign w:val="center"/>
          </w:tcPr>
          <w:p w:rsidR="00000000" w:rsidDel="00000000" w:rsidP="00000000" w:rsidRDefault="00000000" w:rsidRPr="00000000" w14:paraId="0000006D">
            <w:pPr>
              <w:rPr/>
            </w:pPr>
            <w:r w:rsidDel="00000000" w:rsidR="00000000" w:rsidRPr="00000000">
              <w:rPr>
                <w:sz w:val="21"/>
                <w:szCs w:val="21"/>
                <w:rtl w:val="0"/>
              </w:rPr>
              <w:t xml:space="preserve">Cande Fernandez</w:t>
            </w:r>
            <w:r w:rsidDel="00000000" w:rsidR="00000000" w:rsidRPr="00000000">
              <w:rPr>
                <w:rtl w:val="0"/>
              </w:rPr>
            </w:r>
          </w:p>
        </w:tc>
      </w:tr>
      <w:tr>
        <w:trPr>
          <w:cantSplit w:val="0"/>
          <w:tblHeader w:val="0"/>
        </w:trPr>
        <w:tc>
          <w:tcPr>
            <w:tcMar>
              <w:top w:w="70.0" w:type="dxa"/>
              <w:left w:w="120.0" w:type="dxa"/>
              <w:bottom w:w="70.0" w:type="dxa"/>
              <w:right w:w="12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000000"/>
                <w:sz w:val="21"/>
                <w:szCs w:val="21"/>
                <w:rtl w:val="0"/>
              </w:rPr>
              <w:t xml:space="preserve">Especialista en modelado</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color w:val="000000"/>
                <w:sz w:val="21"/>
                <w:szCs w:val="21"/>
                <w:rtl w:val="0"/>
              </w:rPr>
              <w:t xml:space="preserve">Ingeniería de características, entrenamiento del modelo (árbol de decisión / Random Forest) y evaluación con métricas.</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color w:val="000000"/>
                <w:sz w:val="21"/>
                <w:szCs w:val="21"/>
                <w:rtl w:val="0"/>
              </w:rPr>
              <w:t xml:space="preserve">[Nombre]</w:t>
            </w:r>
            <w:r w:rsidDel="00000000" w:rsidR="00000000" w:rsidRPr="00000000">
              <w:rPr>
                <w:rtl w:val="0"/>
              </w:rPr>
            </w:r>
          </w:p>
        </w:tc>
      </w:tr>
      <w:tr>
        <w:trPr>
          <w:cantSplit w:val="0"/>
          <w:tblHeader w:val="0"/>
        </w:trPr>
        <w:tc>
          <w:tcPr>
            <w:shd w:fill="eaf0f8" w:val="clear"/>
            <w:tcMar>
              <w:top w:w="70.0" w:type="dxa"/>
              <w:left w:w="120.0" w:type="dxa"/>
              <w:bottom w:w="70.0" w:type="dxa"/>
              <w:right w:w="12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000000"/>
                <w:sz w:val="21"/>
                <w:szCs w:val="21"/>
                <w:rtl w:val="0"/>
              </w:rPr>
              <w:t xml:space="preserve">Desarrollador de la aplicación</w:t>
            </w:r>
            <w:r w:rsidDel="00000000" w:rsidR="00000000" w:rsidRPr="00000000">
              <w:rPr>
                <w:rtl w:val="0"/>
              </w:rPr>
            </w:r>
          </w:p>
        </w:tc>
        <w:tc>
          <w:tcPr>
            <w:tcMar>
              <w:top w:w="70.0" w:type="dxa"/>
              <w:left w:w="120.0" w:type="dxa"/>
              <w:bottom w:w="70.0" w:type="dxa"/>
              <w:right w:w="12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color w:val="000000"/>
                <w:sz w:val="21"/>
                <w:szCs w:val="21"/>
                <w:rtl w:val="0"/>
              </w:rPr>
              <w:t xml:space="preserve">Construcción de la aplicación funcional interactiva y conexión con el modelo; conclusión y storytelling.</w:t>
            </w:r>
            <w:r w:rsidDel="00000000" w:rsidR="00000000" w:rsidRPr="00000000">
              <w:rPr>
                <w:rtl w:val="0"/>
              </w:rPr>
            </w:r>
          </w:p>
        </w:tc>
        <w:tc>
          <w:tcPr>
            <w:shd w:fill="eaf0f8" w:val="clear"/>
            <w:tcMar>
              <w:top w:w="70.0" w:type="dxa"/>
              <w:left w:w="120.0" w:type="dxa"/>
              <w:bottom w:w="70.0" w:type="dxa"/>
              <w:right w:w="12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color w:val="000000"/>
                <w:sz w:val="21"/>
                <w:szCs w:val="21"/>
                <w:rtl w:val="0"/>
              </w:rPr>
              <w:t xml:space="preserve">[Nombre]</w:t>
            </w:r>
            <w:r w:rsidDel="00000000" w:rsidR="00000000" w:rsidRPr="00000000">
              <w:rPr>
                <w:rtl w:val="0"/>
              </w:rPr>
            </w:r>
          </w:p>
        </w:tc>
      </w:tr>
    </w:tbl>
    <w:p w:rsidR="00000000" w:rsidDel="00000000" w:rsidP="00000000" w:rsidRDefault="00000000" w:rsidRPr="00000000" w14:paraId="00000074">
      <w:pPr>
        <w:pBdr>
          <w:left w:color="b45309" w:space="12" w:sz="18" w:val="single"/>
        </w:pBdr>
        <w:spacing w:after="0" w:before="100" w:lineRule="auto"/>
        <w:ind w:left="360" w:firstLine="0"/>
        <w:jc w:val="both"/>
        <w:rPr/>
      </w:pPr>
      <w:r w:rsidDel="00000000" w:rsidR="00000000" w:rsidRPr="00000000">
        <w:rPr>
          <w:rFonts w:ascii="Calibri" w:cs="Calibri" w:eastAsia="Calibri" w:hAnsi="Calibri"/>
          <w:b w:val="1"/>
          <w:bCs w:val="1"/>
          <w:color w:val="b45309"/>
          <w:rtl w:val="0"/>
        </w:rPr>
        <w:t xml:space="preserve">Nota: </w:t>
      </w:r>
      <w:r w:rsidDel="00000000" w:rsidR="00000000" w:rsidRPr="00000000">
        <w:rPr>
          <w:rFonts w:ascii="Calibri" w:cs="Calibri" w:eastAsia="Calibri" w:hAnsi="Calibri"/>
          <w:i w:val="1"/>
          <w:iCs w:val="1"/>
          <w:rtl w:val="0"/>
        </w:rPr>
        <w:t xml:space="preserve">ajustar la cantidad de roles a la cantidad de integrantes del grupo; un integrante puede asumir más de un rol si fuera necesario.</w:t>
      </w:r>
      <w:r w:rsidDel="00000000" w:rsidR="00000000" w:rsidRPr="00000000">
        <w:rPr>
          <w:rtl w:val="0"/>
        </w:rPr>
      </w:r>
    </w:p>
    <w:p w:rsidR="00000000" w:rsidDel="00000000" w:rsidP="00000000" w:rsidRDefault="00000000" w:rsidRPr="00000000">
      <w:pPr>
        <w:pStyle w:val="Heading1"/>
        <w:spacing w:after="140" w:before="320" w:lineRule="auto"/>
        <w:rPr/>
      </w:pPr>
      <w:r w:rsidDel="00000000" w:rsidR="00000000" w:rsidRPr="00000000">
        <w:rPr>
          <w:rFonts w:ascii="Calibri" w:cs="Calibri" w:eastAsia="Calibri" w:hAnsi="Calibri"/>
          <w:b w:val="1"/>
          <w:bCs w:val="1"/>
          <w:color w:val="1b3a6b"/>
          <w:sz w:val="30"/>
          <w:szCs w:val="30"/>
          <w:rtl w:val="0"/>
        </w:rPr>
        <w:t xml:space="preserve">4. Arquitectura de la solución (tubería de datos)</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La solución se implementa como una tubería de datos reproducible en Python que va desde las fuentes crudas hasta la aplicación funcional, recorriendo las fases de CRISP-DM (comprensión del negocio y de los datos, preparación, modelado, evaluación y despliegue). El flujo es el siguiente:</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b w:val="1"/>
          <w:bCs w:val="1"/>
          <w:rtl w:val="0"/>
        </w:rPr>
        <w:t xml:space="preserve">Fuentes (turnos Kaggle + clima INMET) → Ingesta y validación → Limpieza → Ingeniería de características → Preprocesado → Modelo (Árbol de Decisión / Random Forest) → Evaluación → Modelo entregable → Aplicación Streamlit.</w:t>
      </w:r>
    </w:p>
    <w:p w:rsidR="00000000" w:rsidDel="00000000" w:rsidP="00000000" w:rsidRDefault="00000000" w:rsidRPr="00000000">
      <w:pPr>
        <w:numPr>
          <w:ilvl w:val="0"/>
          <w:numId w:val="1"/>
        </w:numPr>
        <w:shd w:fill="auto" w:val="clear"/>
        <w:spacing w:after="80" w:before="0" w:line="288" w:lineRule="auto"/>
        <w:ind w:left="720" w:right="0" w:hanging="360"/>
        <w:jc w:val="both"/>
        <w:rPr/>
      </w:pPr>
      <w:r w:rsidDel="00000000" w:rsidR="00000000" w:rsidRPr="00000000">
        <w:rPr>
          <w:rFonts w:ascii="Calibri" w:cs="Calibri" w:eastAsia="Calibri" w:hAnsi="Calibri"/>
          <w:b w:val="1"/>
          <w:bCs w:val="1"/>
          <w:rtl w:val="0"/>
        </w:rPr>
        <w:t xml:space="preserve">Ingesta y validación: </w:t>
      </w:r>
      <w:r w:rsidDel="00000000" w:rsidR="00000000" w:rsidRPr="00000000">
        <w:rPr>
          <w:rFonts w:ascii="Calibri" w:cs="Calibri" w:eastAsia="Calibri" w:hAnsi="Calibri"/>
          <w:rtl w:val="0"/>
        </w:rPr>
        <w:t xml:space="preserve">carga del dataset de turnos y verificación de su esquema (14 columnas); del clima, filtrado de la estación de Vitória y agregación a nivel diario.</w:t>
      </w:r>
    </w:p>
    <w:p w:rsidR="00000000" w:rsidDel="00000000" w:rsidP="00000000" w:rsidRDefault="00000000" w:rsidRPr="00000000">
      <w:pPr>
        <w:numPr>
          <w:ilvl w:val="0"/>
          <w:numId w:val="1"/>
        </w:numPr>
        <w:shd w:fill="auto" w:val="clear"/>
        <w:spacing w:after="80" w:before="0" w:line="288" w:lineRule="auto"/>
        <w:ind w:left="720" w:right="0" w:hanging="360"/>
        <w:jc w:val="both"/>
        <w:rPr/>
      </w:pPr>
      <w:r w:rsidDel="00000000" w:rsidR="00000000" w:rsidRPr="00000000">
        <w:rPr>
          <w:rFonts w:ascii="Calibri" w:cs="Calibri" w:eastAsia="Calibri" w:hAnsi="Calibri"/>
          <w:b w:val="1"/>
          <w:bCs w:val="1"/>
          <w:rtl w:val="0"/>
        </w:rPr>
        <w:t xml:space="preserve">Limpieza: </w:t>
      </w:r>
      <w:r w:rsidDel="00000000" w:rsidR="00000000" w:rsidRPr="00000000">
        <w:rPr>
          <w:rFonts w:ascii="Calibri" w:cs="Calibri" w:eastAsia="Calibri" w:hAnsi="Calibri"/>
          <w:rtl w:val="0"/>
        </w:rPr>
        <w:t xml:space="preserve">corrección de registros inválidos (edades negativas y lead times negativos), con conteo de los casos afectados.</w:t>
      </w:r>
    </w:p>
    <w:p w:rsidR="00000000" w:rsidDel="00000000" w:rsidP="00000000" w:rsidRDefault="00000000" w:rsidRPr="00000000">
      <w:pPr>
        <w:numPr>
          <w:ilvl w:val="0"/>
          <w:numId w:val="1"/>
        </w:numPr>
        <w:shd w:fill="auto" w:val="clear"/>
        <w:spacing w:after="80" w:before="0" w:line="288" w:lineRule="auto"/>
        <w:ind w:left="720" w:right="0" w:hanging="360"/>
        <w:jc w:val="both"/>
        <w:rPr/>
      </w:pPr>
      <w:r w:rsidDel="00000000" w:rsidR="00000000" w:rsidRPr="00000000">
        <w:rPr>
          <w:rFonts w:ascii="Calibri" w:cs="Calibri" w:eastAsia="Calibri" w:hAnsi="Calibri"/>
          <w:b w:val="1"/>
          <w:bCs w:val="1"/>
          <w:rtl w:val="0"/>
        </w:rPr>
        <w:t xml:space="preserve">Ingeniería de características: </w:t>
      </w:r>
      <w:r w:rsidDel="00000000" w:rsidR="00000000" w:rsidRPr="00000000">
        <w:rPr>
          <w:rFonts w:ascii="Calibri" w:cs="Calibri" w:eastAsia="Calibri" w:hAnsi="Calibri"/>
          <w:rtl w:val="0"/>
        </w:rPr>
        <w:t xml:space="preserve">lead time (días entre agendamiento y turno), día y mes del turno, grupos etarios, comorbilidades, agrupación de barrios de baja frecuencia y cruce con las variables de clima.</w:t>
      </w:r>
    </w:p>
    <w:p w:rsidR="00000000" w:rsidDel="00000000" w:rsidP="00000000" w:rsidRDefault="00000000" w:rsidRPr="00000000">
      <w:pPr>
        <w:numPr>
          <w:ilvl w:val="0"/>
          <w:numId w:val="1"/>
        </w:numPr>
        <w:shd w:fill="auto" w:val="clear"/>
        <w:spacing w:after="80" w:before="0" w:line="288" w:lineRule="auto"/>
        <w:ind w:left="720" w:right="0" w:hanging="360"/>
        <w:jc w:val="both"/>
        <w:rPr/>
      </w:pPr>
      <w:r w:rsidDel="00000000" w:rsidR="00000000" w:rsidRPr="00000000">
        <w:rPr>
          <w:rFonts w:ascii="Calibri" w:cs="Calibri" w:eastAsia="Calibri" w:hAnsi="Calibri"/>
          <w:b w:val="1"/>
          <w:bCs w:val="1"/>
          <w:rtl w:val="0"/>
        </w:rPr>
        <w:t xml:space="preserve">Preprocesado: </w:t>
      </w:r>
      <w:r w:rsidDel="00000000" w:rsidR="00000000" w:rsidRPr="00000000">
        <w:rPr>
          <w:rFonts w:ascii="Calibri" w:cs="Calibri" w:eastAsia="Calibri" w:hAnsi="Calibri"/>
          <w:rtl w:val="0"/>
        </w:rPr>
        <w:t xml:space="preserve">codificación One-Hot de las variables categóricas dentro de un pipeline reutilizable que se ajusta solo con datos de entrenamiento (sin fuga de información) y se guarda junto al modelo.</w:t>
      </w:r>
    </w:p>
    <w:p w:rsidR="00000000" w:rsidDel="00000000" w:rsidP="00000000" w:rsidRDefault="00000000" w:rsidRPr="00000000">
      <w:pPr>
        <w:numPr>
          <w:ilvl w:val="0"/>
          <w:numId w:val="1"/>
        </w:numPr>
        <w:shd w:fill="auto" w:val="clear"/>
        <w:spacing w:after="80" w:before="0" w:line="288" w:lineRule="auto"/>
        <w:ind w:left="720" w:right="0" w:hanging="360"/>
        <w:jc w:val="both"/>
        <w:rPr/>
      </w:pPr>
      <w:r w:rsidDel="00000000" w:rsidR="00000000" w:rsidRPr="00000000">
        <w:rPr>
          <w:rFonts w:ascii="Calibri" w:cs="Calibri" w:eastAsia="Calibri" w:hAnsi="Calibri"/>
          <w:b w:val="1"/>
          <w:bCs w:val="1"/>
          <w:rtl w:val="0"/>
        </w:rPr>
        <w:t xml:space="preserve">Modelado: </w:t>
      </w:r>
      <w:r w:rsidDel="00000000" w:rsidR="00000000" w:rsidRPr="00000000">
        <w:rPr>
          <w:rFonts w:ascii="Calibri" w:cs="Calibri" w:eastAsia="Calibri" w:hAnsi="Calibri"/>
          <w:rtl w:val="0"/>
        </w:rPr>
        <w:t xml:space="preserve">entrenamiento de un Árbol de Decisión y un Random Forest para clasificación binaria.</w:t>
      </w:r>
    </w:p>
    <w:p w:rsidR="00000000" w:rsidDel="00000000" w:rsidP="00000000" w:rsidRDefault="00000000" w:rsidRPr="00000000">
      <w:pPr>
        <w:numPr>
          <w:ilvl w:val="0"/>
          <w:numId w:val="1"/>
        </w:numPr>
        <w:shd w:fill="auto" w:val="clear"/>
        <w:spacing w:after="80" w:before="0" w:line="288" w:lineRule="auto"/>
        <w:ind w:left="720" w:right="0" w:hanging="360"/>
        <w:jc w:val="both"/>
        <w:rPr/>
      </w:pPr>
      <w:r w:rsidDel="00000000" w:rsidR="00000000" w:rsidRPr="00000000">
        <w:rPr>
          <w:rFonts w:ascii="Calibri" w:cs="Calibri" w:eastAsia="Calibri" w:hAnsi="Calibri"/>
          <w:b w:val="1"/>
          <w:bCs w:val="1"/>
          <w:rtl w:val="0"/>
        </w:rPr>
        <w:t xml:space="preserve">Evaluación: </w:t>
      </w:r>
      <w:r w:rsidDel="00000000" w:rsidR="00000000" w:rsidRPr="00000000">
        <w:rPr>
          <w:rFonts w:ascii="Calibri" w:cs="Calibri" w:eastAsia="Calibri" w:hAnsi="Calibri"/>
          <w:rtl w:val="0"/>
        </w:rPr>
        <w:t xml:space="preserve">métricas robustas al desbalance de clases (precision, recall, F1, ROC-AUC) y matriz de confusión.</w:t>
      </w:r>
    </w:p>
    <w:p w:rsidR="00000000" w:rsidDel="00000000" w:rsidP="00000000" w:rsidRDefault="00000000" w:rsidRPr="00000000">
      <w:pPr>
        <w:numPr>
          <w:ilvl w:val="0"/>
          <w:numId w:val="1"/>
        </w:numPr>
        <w:shd w:fill="auto" w:val="clear"/>
        <w:spacing w:after="80" w:before="0" w:line="288" w:lineRule="auto"/>
        <w:ind w:left="720" w:right="0" w:hanging="360"/>
        <w:jc w:val="both"/>
        <w:rPr/>
      </w:pPr>
      <w:r w:rsidDel="00000000" w:rsidR="00000000" w:rsidRPr="00000000">
        <w:rPr>
          <w:rFonts w:ascii="Calibri" w:cs="Calibri" w:eastAsia="Calibri" w:hAnsi="Calibri"/>
          <w:b w:val="1"/>
          <w:bCs w:val="1"/>
          <w:rtl w:val="0"/>
        </w:rPr>
        <w:t xml:space="preserve">Aplicación: </w:t>
      </w:r>
      <w:r w:rsidDel="00000000" w:rsidR="00000000" w:rsidRPr="00000000">
        <w:rPr>
          <w:rFonts w:ascii="Calibri" w:cs="Calibri" w:eastAsia="Calibri" w:hAnsi="Calibri"/>
          <w:rtl w:val="0"/>
        </w:rPr>
        <w:t xml:space="preserve">consume el modelo para devolver la probabilidad de no-show y recomendar la acción correspondiente.</w:t>
      </w:r>
    </w:p>
    <w:p w:rsidR="00000000" w:rsidDel="00000000" w:rsidP="00000000" w:rsidRDefault="00000000" w:rsidRPr="00000000">
      <w:pPr>
        <w:pStyle w:val="Heading2"/>
        <w:spacing w:after="100" w:before="220" w:lineRule="auto"/>
        <w:rPr/>
      </w:pPr>
      <w:r w:rsidDel="00000000" w:rsidR="00000000" w:rsidRPr="00000000">
        <w:rPr>
          <w:rFonts w:ascii="Calibri" w:cs="Calibri" w:eastAsia="Calibri" w:hAnsi="Calibri"/>
          <w:b w:val="1"/>
          <w:bCs w:val="1"/>
          <w:color w:val="000000"/>
          <w:sz w:val="25"/>
          <w:szCs w:val="25"/>
          <w:rtl w:val="0"/>
        </w:rPr>
        <w:t xml:space="preserve">4.1. Stack tecnológico y versionado</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El proyecto se desarrolla en Python con las librerías pandas y scikit-learn para el procesamiento y el modelado; matplotlib y seaborn para la visualización; y Streamlit para la aplicación funcional interactiva. El análisis exploratorio y el modelado se documentan en un notebook (Jupyter/Colab). Todo el código se versiona en GitHub, con trabajo por ramas y commits descriptivos, y la gestión del proyecto sigue un tablero Kanban.</w:t>
      </w:r>
    </w:p>
    <w:p w:rsidR="00000000" w:rsidDel="00000000" w:rsidP="00000000" w:rsidRDefault="00000000" w:rsidRPr="00000000">
      <w:pPr>
        <w:pStyle w:val="Heading1"/>
        <w:spacing w:after="140" w:before="320" w:lineRule="auto"/>
        <w:rPr/>
      </w:pPr>
      <w:r w:rsidDel="00000000" w:rsidR="00000000" w:rsidRPr="00000000">
        <w:rPr>
          <w:rFonts w:ascii="Calibri" w:cs="Calibri" w:eastAsia="Calibri" w:hAnsi="Calibri"/>
          <w:b w:val="1"/>
          <w:bCs w:val="1"/>
          <w:color w:val="1b3a6b"/>
          <w:sz w:val="30"/>
          <w:szCs w:val="30"/>
          <w:rtl w:val="0"/>
        </w:rPr>
        <w:t xml:space="preserve">5. Preparación de datos y análisis exploratorio (EDA)</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Se verificaron las dimensiones reales de la fuente principal: </w:t>
      </w:r>
      <w:r w:rsidDel="00000000" w:rsidR="00000000" w:rsidRPr="00000000">
        <w:rPr>
          <w:rFonts w:ascii="Calibri" w:cs="Calibri" w:eastAsia="Calibri" w:hAnsi="Calibri"/>
          <w:b w:val="1"/>
          <w:bCs w:val="1"/>
          <w:rtl w:val="0"/>
        </w:rPr>
        <w:t xml:space="preserve">110.527 turnos</w:t>
      </w:r>
      <w:r w:rsidDel="00000000" w:rsidR="00000000" w:rsidRPr="00000000">
        <w:rPr>
          <w:rFonts w:ascii="Calibri" w:cs="Calibri" w:eastAsia="Calibri" w:hAnsi="Calibri"/>
          <w:rtl w:val="0"/>
        </w:rPr>
        <w:t xml:space="preserve"> y un ausentismo del </w:t>
      </w:r>
      <w:r w:rsidDel="00000000" w:rsidR="00000000" w:rsidRPr="00000000">
        <w:rPr>
          <w:rFonts w:ascii="Calibri" w:cs="Calibri" w:eastAsia="Calibri" w:hAnsi="Calibri"/>
          <w:b w:val="1"/>
          <w:bCs w:val="1"/>
          <w:rtl w:val="0"/>
        </w:rPr>
        <w:t xml:space="preserve">20,2 % (22.319 no-show)</w:t>
      </w:r>
      <w:r w:rsidDel="00000000" w:rsidR="00000000" w:rsidRPr="00000000">
        <w:rPr>
          <w:rFonts w:ascii="Calibri" w:cs="Calibri" w:eastAsia="Calibri" w:hAnsi="Calibri"/>
          <w:rtl w:val="0"/>
        </w:rPr>
        <w:t xml:space="preserve">, lo que confirma el desbalance de clases (aproximadamente 80/20). Los turnos corresponden a Vitória (Espírito Santo, Brasil), con fecha de atención entre el 29-04-2016 y el 08-06-2016.</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La </w:t>
      </w:r>
      <w:r w:rsidDel="00000000" w:rsidR="00000000" w:rsidRPr="00000000">
        <w:rPr>
          <w:rFonts w:ascii="Calibri" w:cs="Calibri" w:eastAsia="Calibri" w:hAnsi="Calibri"/>
          <w:b w:val="1"/>
          <w:bCs w:val="1"/>
          <w:rtl w:val="0"/>
        </w:rPr>
        <w:t xml:space="preserve">fuente secundaria de clima</w:t>
      </w:r>
      <w:r w:rsidDel="00000000" w:rsidR="00000000" w:rsidRPr="00000000">
        <w:rPr>
          <w:rFonts w:ascii="Calibri" w:cs="Calibri" w:eastAsia="Calibri" w:hAnsi="Calibri"/>
          <w:rtl w:val="0"/>
        </w:rPr>
        <w:t xml:space="preserve"> es el conjunto histórico horario de INMET (Brasil) para 2016. Se utiliza la estación </w:t>
      </w:r>
      <w:r w:rsidDel="00000000" w:rsidR="00000000" w:rsidRPr="00000000">
        <w:rPr>
          <w:rFonts w:ascii="Calibri" w:cs="Calibri" w:eastAsia="Calibri" w:hAnsi="Calibri"/>
          <w:b w:val="1"/>
          <w:bCs w:val="1"/>
          <w:rtl w:val="0"/>
        </w:rPr>
        <w:t xml:space="preserve">A612, correspondiente a Vitória</w:t>
      </w:r>
      <w:r w:rsidDel="00000000" w:rsidR="00000000" w:rsidRPr="00000000">
        <w:rPr>
          <w:rFonts w:ascii="Calibri" w:cs="Calibri" w:eastAsia="Calibri" w:hAnsi="Calibri"/>
          <w:rtl w:val="0"/>
        </w:rPr>
        <w:t xml:space="preserve"> (validada como estación costera), agregando los registros horarios a nivel diario (precipitación total, temperatura máxima/mínima/media e indicador de lluvia) y cruzándolos con la fecha del turno. Esto satisface la expectativa superadora de integrar varias fuentes de datos distintas.</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El EDA, en línea con lo trabajado en la asignatura, incluye: la distribución de la variable objetivo (para evidenciar el desbalance), histogramas y diagramas de caja de las variables numéricas (edad, lead time), la matriz de correlación, y el análisis de la relación de cada variable con el no-show, separando por clase.</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b w:val="1"/>
          <w:bCs w:val="1"/>
          <w:rtl w:val="0"/>
        </w:rPr>
        <w:t xml:space="preserve">Advertencia metodológica: </w:t>
      </w:r>
      <w:r w:rsidDel="00000000" w:rsidR="00000000" w:rsidRPr="00000000">
        <w:rPr>
          <w:rFonts w:ascii="Calibri" w:cs="Calibri" w:eastAsia="Calibri" w:hAnsi="Calibri"/>
          <w:rtl w:val="0"/>
        </w:rPr>
        <w:t xml:space="preserve">la variable de envío de SMS está correlacionada con el lead time (se envía más a los turnos agendados con mayor anticipación), por lo que no debe interpretarse como una relación causal directa con el ausentismo.</w:t>
      </w:r>
    </w:p>
    <w:p w:rsidR="00000000" w:rsidDel="00000000" w:rsidP="00000000" w:rsidRDefault="00000000" w:rsidRPr="00000000">
      <w:pPr>
        <w:pStyle w:val="Heading1"/>
        <w:spacing w:after="140" w:before="320" w:lineRule="auto"/>
        <w:rPr/>
      </w:pPr>
      <w:r w:rsidDel="00000000" w:rsidR="00000000" w:rsidRPr="00000000">
        <w:rPr>
          <w:rFonts w:ascii="Calibri" w:cs="Calibri" w:eastAsia="Calibri" w:hAnsi="Calibri"/>
          <w:b w:val="1"/>
          <w:bCs w:val="1"/>
          <w:color w:val="1b3a6b"/>
          <w:sz w:val="30"/>
          <w:szCs w:val="30"/>
          <w:rtl w:val="0"/>
        </w:rPr>
        <w:t xml:space="preserve">6. Modelado y evaluación</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Se entrenan dos modelos de clasificación binaria estudiados en la materia: un </w:t>
      </w:r>
      <w:r w:rsidDel="00000000" w:rsidR="00000000" w:rsidRPr="00000000">
        <w:rPr>
          <w:rFonts w:ascii="Calibri" w:cs="Calibri" w:eastAsia="Calibri" w:hAnsi="Calibri"/>
          <w:b w:val="1"/>
          <w:bCs w:val="1"/>
          <w:rtl w:val="0"/>
        </w:rPr>
        <w:t xml:space="preserve">Árbol de Decisión</w:t>
      </w:r>
      <w:r w:rsidDel="00000000" w:rsidR="00000000" w:rsidRPr="00000000">
        <w:rPr>
          <w:rFonts w:ascii="Calibri" w:cs="Calibri" w:eastAsia="Calibri" w:hAnsi="Calibri"/>
          <w:rtl w:val="0"/>
        </w:rPr>
        <w:t xml:space="preserve">, controlado contra el sobreajuste mediante poda (profundidad máxima y mínimo de muestras por hoja), y un </w:t>
      </w:r>
      <w:r w:rsidDel="00000000" w:rsidR="00000000" w:rsidRPr="00000000">
        <w:rPr>
          <w:rFonts w:ascii="Calibri" w:cs="Calibri" w:eastAsia="Calibri" w:hAnsi="Calibri"/>
          <w:b w:val="1"/>
          <w:bCs w:val="1"/>
          <w:rtl w:val="0"/>
        </w:rPr>
        <w:t xml:space="preserve">Random Forest</w:t>
      </w:r>
      <w:r w:rsidDel="00000000" w:rsidR="00000000" w:rsidRPr="00000000">
        <w:rPr>
          <w:rFonts w:ascii="Calibri" w:cs="Calibri" w:eastAsia="Calibri" w:hAnsi="Calibri"/>
          <w:rtl w:val="0"/>
        </w:rPr>
        <w:t xml:space="preserve">, que por su naturaleza de ensamble no se poda.</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La partición de datos es un hold-out estratificado (que preserva la proporción de clases) y se complementa con validación cruzada </w:t>
      </w:r>
      <w:r w:rsidDel="00000000" w:rsidR="00000000" w:rsidRPr="00000000">
        <w:rPr>
          <w:rFonts w:ascii="Calibri" w:cs="Calibri" w:eastAsia="Calibri" w:hAnsi="Calibri"/>
          <w:b w:val="1"/>
          <w:bCs w:val="1"/>
          <w:rtl w:val="0"/>
        </w:rPr>
        <w:t xml:space="preserve">StratifiedKFold</w:t>
      </w:r>
      <w:r w:rsidDel="00000000" w:rsidR="00000000" w:rsidRPr="00000000">
        <w:rPr>
          <w:rFonts w:ascii="Calibri" w:cs="Calibri" w:eastAsia="Calibri" w:hAnsi="Calibri"/>
          <w:rtl w:val="0"/>
        </w:rPr>
        <w:t xml:space="preserve"> de 5 particiones para comparar ambos modelos de forma robusta, reportando la media y el desvío estándar de F1 y ROC-AUC.</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La evaluación utiliza </w:t>
      </w:r>
      <w:r w:rsidDel="00000000" w:rsidR="00000000" w:rsidRPr="00000000">
        <w:rPr>
          <w:rFonts w:ascii="Calibri" w:cs="Calibri" w:eastAsia="Calibri" w:hAnsi="Calibri"/>
          <w:b w:val="1"/>
          <w:bCs w:val="1"/>
          <w:rtl w:val="0"/>
        </w:rPr>
        <w:t xml:space="preserve">classification_report</w:t>
      </w:r>
      <w:r w:rsidDel="00000000" w:rsidR="00000000" w:rsidRPr="00000000">
        <w:rPr>
          <w:rFonts w:ascii="Calibri" w:cs="Calibri" w:eastAsia="Calibri" w:hAnsi="Calibri"/>
          <w:rtl w:val="0"/>
        </w:rPr>
        <w:t xml:space="preserve"> (precision, recall y F1 por clase), la </w:t>
      </w:r>
      <w:r w:rsidDel="00000000" w:rsidR="00000000" w:rsidRPr="00000000">
        <w:rPr>
          <w:rFonts w:ascii="Calibri" w:cs="Calibri" w:eastAsia="Calibri" w:hAnsi="Calibri"/>
          <w:b w:val="1"/>
          <w:bCs w:val="1"/>
          <w:rtl w:val="0"/>
        </w:rPr>
        <w:t xml:space="preserve">matriz de confusión</w:t>
      </w:r>
      <w:r w:rsidDel="00000000" w:rsidR="00000000" w:rsidRPr="00000000">
        <w:rPr>
          <w:rFonts w:ascii="Calibri" w:cs="Calibri" w:eastAsia="Calibri" w:hAnsi="Calibri"/>
          <w:rtl w:val="0"/>
        </w:rPr>
        <w:t xml:space="preserve"> y el </w:t>
      </w:r>
      <w:r w:rsidDel="00000000" w:rsidR="00000000" w:rsidRPr="00000000">
        <w:rPr>
          <w:rFonts w:ascii="Calibri" w:cs="Calibri" w:eastAsia="Calibri" w:hAnsi="Calibri"/>
          <w:b w:val="1"/>
          <w:bCs w:val="1"/>
          <w:rtl w:val="0"/>
        </w:rPr>
        <w:t xml:space="preserve">ROC-AUC</w:t>
      </w:r>
      <w:r w:rsidDel="00000000" w:rsidR="00000000" w:rsidRPr="00000000">
        <w:rPr>
          <w:rFonts w:ascii="Calibri" w:cs="Calibri" w:eastAsia="Calibri" w:hAnsi="Calibri"/>
          <w:rtl w:val="0"/>
        </w:rPr>
        <w:t xml:space="preserve">. No se usa la exactitud (accuracy) como métrica principal, ya que resulta engañosa ante clases desbalanceadas. Se analiza explícitamente el costo de un falso negativo (un no-show no detectado) frente a un falso positivo, y sobre esa base se ajusta el umbral de decisión priorizando el recall de la clase de ausencia. Se reporta además la importancia de variables del Random Forest.</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b w:val="1"/>
          <w:bCs w:val="1"/>
          <w:rtl w:val="0"/>
        </w:rPr>
        <w:t xml:space="preserve">Limitaciones: </w:t>
      </w:r>
      <w:r w:rsidDel="00000000" w:rsidR="00000000" w:rsidRPr="00000000">
        <w:rPr>
          <w:rFonts w:ascii="Calibri" w:cs="Calibri" w:eastAsia="Calibri" w:hAnsi="Calibri"/>
          <w:rtl w:val="0"/>
        </w:rPr>
        <w:t xml:space="preserve">los datos son de 2016, de una única ciudad y previos a la pandemia; un despliegue real requeriría reentrenar el modelo con datos actuales (deriva de datos). Esto no afecta la validación de la hipótesis en el marco del trabajo.</w:t>
      </w:r>
    </w:p>
    <w:p w:rsidR="00000000" w:rsidDel="00000000" w:rsidP="00000000" w:rsidRDefault="00000000" w:rsidRPr="00000000">
      <w:pPr>
        <w:pStyle w:val="Heading1"/>
        <w:spacing w:after="140" w:before="320" w:lineRule="auto"/>
        <w:rPr/>
      </w:pPr>
      <w:r w:rsidDel="00000000" w:rsidR="00000000" w:rsidRPr="00000000">
        <w:rPr>
          <w:rFonts w:ascii="Calibri" w:cs="Calibri" w:eastAsia="Calibri" w:hAnsi="Calibri"/>
          <w:b w:val="1"/>
          <w:bCs w:val="1"/>
          <w:color w:val="1b3a6b"/>
          <w:sz w:val="30"/>
          <w:szCs w:val="30"/>
          <w:rtl w:val="0"/>
        </w:rPr>
        <w:t xml:space="preserve">7. Aplicación funcional y entrega de valor</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La aplicación funcional se construye en Streamlit y consume el modelo entrenado. Ofrece dos modos de uso:</w:t>
      </w:r>
    </w:p>
    <w:p w:rsidR="00000000" w:rsidDel="00000000" w:rsidP="00000000" w:rsidRDefault="00000000" w:rsidRPr="00000000">
      <w:pPr>
        <w:numPr>
          <w:ilvl w:val="0"/>
          <w:numId w:val="1"/>
        </w:numPr>
        <w:shd w:fill="auto" w:val="clear"/>
        <w:spacing w:after="80" w:before="0" w:line="288" w:lineRule="auto"/>
        <w:ind w:left="720" w:right="0" w:hanging="360"/>
        <w:jc w:val="both"/>
        <w:rPr/>
      </w:pPr>
      <w:r w:rsidDel="00000000" w:rsidR="00000000" w:rsidRPr="00000000">
        <w:rPr>
          <w:rFonts w:ascii="Calibri" w:cs="Calibri" w:eastAsia="Calibri" w:hAnsi="Calibri"/>
          <w:b w:val="1"/>
          <w:bCs w:val="1"/>
          <w:rtl w:val="0"/>
        </w:rPr>
        <w:t xml:space="preserve">Turno individual: </w:t>
      </w:r>
      <w:r w:rsidDel="00000000" w:rsidR="00000000" w:rsidRPr="00000000">
        <w:rPr>
          <w:rFonts w:ascii="Calibri" w:cs="Calibri" w:eastAsia="Calibri" w:hAnsi="Calibri"/>
          <w:rtl w:val="0"/>
        </w:rPr>
        <w:t xml:space="preserve">el usuario ingresa los atributos del turno (edad, género, barrio, fechas, envío de SMS, comorbilidades, beca y clima del día) y obtiene la probabilidad de no-show junto con la acción recomendada según la banda de riesgo: sin acción (bajo), recordatorio por SMS (medio) o llamado telefónico y sobreturno controlado (alto).</w:t>
      </w:r>
    </w:p>
    <w:p w:rsidR="00000000" w:rsidDel="00000000" w:rsidP="00000000" w:rsidRDefault="00000000" w:rsidRPr="00000000">
      <w:pPr>
        <w:numPr>
          <w:ilvl w:val="0"/>
          <w:numId w:val="1"/>
        </w:numPr>
        <w:shd w:fill="auto" w:val="clear"/>
        <w:spacing w:after="80" w:before="0" w:line="288" w:lineRule="auto"/>
        <w:ind w:left="720" w:right="0" w:hanging="360"/>
        <w:jc w:val="both"/>
        <w:rPr/>
      </w:pPr>
      <w:r w:rsidDel="00000000" w:rsidR="00000000" w:rsidRPr="00000000">
        <w:rPr>
          <w:rFonts w:ascii="Calibri" w:cs="Calibri" w:eastAsia="Calibri" w:hAnsi="Calibri"/>
          <w:b w:val="1"/>
          <w:bCs w:val="1"/>
          <w:rtl w:val="0"/>
        </w:rPr>
        <w:t xml:space="preserve">Agenda del día (modo lote): </w:t>
      </w:r>
      <w:r w:rsidDel="00000000" w:rsidR="00000000" w:rsidRPr="00000000">
        <w:rPr>
          <w:rFonts w:ascii="Calibri" w:cs="Calibri" w:eastAsia="Calibri" w:hAnsi="Calibri"/>
          <w:rtl w:val="0"/>
        </w:rPr>
        <w:t xml:space="preserve">se carga un conjunto de turnos y la aplicación devuelve una tabla ordenada por riesgo con la acción sugerida por turno, más una estimación del valor de negocio (horas-profesional potencialmente recuperadas y sobreturnos sugeridos).</w:t>
      </w:r>
    </w:p>
    <w:p w:rsidR="00000000" w:rsidDel="00000000" w:rsidP="00000000" w:rsidRDefault="00000000" w:rsidRPr="00000000">
      <w:pPr>
        <w:spacing w:after="140" w:line="300" w:lineRule="auto"/>
        <w:jc w:val="both"/>
        <w:rPr/>
      </w:pPr>
      <w:r w:rsidDel="00000000" w:rsidR="00000000" w:rsidRPr="00000000">
        <w:rPr>
          <w:rFonts w:ascii="Calibri" w:cs="Calibri" w:eastAsia="Calibri" w:hAnsi="Calibri"/>
          <w:rtl w:val="0"/>
        </w:rPr>
        <w:t xml:space="preserve">De este modo, la salida del modelo se traduce directamente en decisiones operativas: cada turno recuperado equivale a una hora efectiva de atención, materializando la propuesta de valor y manteniendo la coherencia entre la hipótesis y la conclusión que exige la consigna.</w:t>
      </w:r>
    </w:p>
    <w:p>
      <w:pPr>
        <w:pStyle w:val="Heading1"/>
      </w:pPr>
      <w:r>
        <w:t>8. Conclusión (Data Visualization + storytelling)</w:t>
      </w:r>
    </w:p>
    <w:p>
      <w:pPr>
        <w:pStyle w:val="Heading2"/>
      </w:pPr>
      <w:r>
        <w:t>8.1. Coherencia entre la hipótesis y los resultados</w:t>
      </w:r>
    </w:p>
    <w:p>
      <w:pPr/>
      <w:r>
        <w:t>La hipótesis planteaba que el no-show no es aleatorio y que variables observables al momento de agendar el turno (anticipación, edad, día de la semana, barrio, comorbilidades y, como fuente secundaria, el clima) permiten estimar la probabilidad de ausencia con una capacidad de discriminación útil para el negocio. Los resultados sostienen esa hipótesis: el Random Forest alcanza un ROC-AUC de test de 0,733 (muy por encima del azar, 0,5), y el ranking de importancia de variables coincide con los hallazgos del análisis exploratorio.</w:t>
      </w:r>
    </w:p>
    <w:p>
      <w:pPr>
        <w:pStyle w:val="Heading2"/>
      </w:pPr>
      <w:r>
        <w:t>8.2. Hallazgos del EDA (storytelling)</w:t>
      </w:r>
    </w:p>
    <w:p>
      <w:pPr/>
      <w:r>
        <w:t>El ausentismo afecta al 20,2 % de los turnos (22.319 de 110.527), un desbalance de clases que obliga a evaluar con precision/recall/ROC-AUC en vez de accuracy.</w:t>
      </w:r>
    </w:p>
    <w:p>
      <w:r>
        <w:drawing>
          <wp:inline>
            <wp:extent cx="3600000" cy="2880000"/>
            <wp:docPr id="2" name="Picture 2"/>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3600000" cy="2880000"/>
                    </a:xfrm>
                    <a:prstGeom prst="rect"/>
                  </pic:spPr>
                </pic:pic>
              </a:graphicData>
            </a:graphic>
          </wp:inline>
        </w:drawing>
      </w:r>
    </w:p>
    <w:p>
      <w:pPr/>
      <w:r>
        <w:rPr>
          <w:i/>
        </w:rPr>
        <w:t>Figura 1. Distribución del target: 79,8 % show vs. 20,2 % no_show.</w:t>
      </w:r>
    </w:p>
    <w:p>
      <w:pPr/>
      <w:r>
        <w:t>La anticipación con la que se agenda el turno (lead_time_days) es la señal más fuerte: los turnos agendados con más días de antelación muestran una mediana de lead time claramente mayor entre quienes faltan que entre quienes asisten; los turnos agendados el mismo día (same_day) casi no registran ausencias.</w:t>
      </w:r>
    </w:p>
    <w:p>
      <w:r>
        <w:drawing>
          <wp:inline>
            <wp:extent cx="5040000" cy="1890000"/>
            <wp:docPr id="3" name="Picture 3"/>
            <wp:cNvGraphicFramePr>
              <a:graphicFrameLocks noChangeAspect="1"/>
            </wp:cNvGraphicFramePr>
            <a:graphic>
              <a:graphicData uri="http://schemas.openxmlformats.org/drawingml/2006/picture">
                <pic:pic>
                  <pic:nvPicPr>
                    <pic:cNvPr id="0" name="lead_time_vs_noshow.png"/>
                    <pic:cNvPicPr/>
                  </pic:nvPicPr>
                  <pic:blipFill>
                    <a:blip r:embed="rId11"/>
                    <a:stretch>
                      <a:fillRect/>
                    </a:stretch>
                  </pic:blipFill>
                  <pic:spPr>
                    <a:xfrm>
                      <a:off x="0" y="0"/>
                      <a:ext cx="5040000" cy="1890000"/>
                    </a:xfrm>
                    <a:prstGeom prst="rect"/>
                  </pic:spPr>
                </pic:pic>
              </a:graphicData>
            </a:graphic>
          </wp:inline>
        </w:drawing>
      </w:r>
    </w:p>
    <w:p>
      <w:pPr/>
      <w:r>
        <w:rPr>
          <w:i/>
        </w:rPr>
        <w:t>Figura 2. Lead time (días de anticipación) por clase: quienes faltan agendan con más anticipación.</w:t>
      </w:r>
    </w:p>
    <w:p>
      <w:pPr/>
      <w:r>
        <w:t>La tasa de no-show también varía por grupo etario: es más alta entre menores y adultos, y notablemente más baja entre adultos mayores (65+), consistente con una mayor disponibilidad de tiempo y turnos de control por comorbilidades crónicas en ese grupo.</w:t>
      </w:r>
    </w:p>
    <w:p>
      <w:r>
        <w:drawing>
          <wp:inline>
            <wp:extent cx="3600000" cy="2400000"/>
            <wp:docPr id="4" name="Picture 4"/>
            <wp:cNvGraphicFramePr>
              <a:graphicFrameLocks noChangeAspect="1"/>
            </wp:cNvGraphicFramePr>
            <a:graphic>
              <a:graphicData uri="http://schemas.openxmlformats.org/drawingml/2006/picture">
                <pic:pic>
                  <pic:nvPicPr>
                    <pic:cNvPr id="0" name="noshow_by_age_group.png"/>
                    <pic:cNvPicPr/>
                  </pic:nvPicPr>
                  <pic:blipFill>
                    <a:blip r:embed="rId12"/>
                    <a:stretch>
                      <a:fillRect/>
                    </a:stretch>
                  </pic:blipFill>
                  <pic:spPr>
                    <a:xfrm>
                      <a:off x="0" y="0"/>
                      <a:ext cx="3600000" cy="2400000"/>
                    </a:xfrm>
                    <a:prstGeom prst="rect"/>
                  </pic:spPr>
                </pic:pic>
              </a:graphicData>
            </a:graphic>
          </wp:inline>
        </w:drawing>
      </w:r>
    </w:p>
    <w:p>
      <w:pPr/>
      <w:r>
        <w:rPr>
          <w:i/>
        </w:rPr>
        <w:t>Figura 3. Tasa de no-show por grupo etario.</w:t>
      </w:r>
    </w:p>
    <w:p>
      <w:pPr/>
      <w:r>
        <w:t>Caveat causal: los turnos que recibieron SMS muestran, a simple vista, una tasa de no-show más alta, no más baja. Esto no significa que el SMS aumente el ausentismo: el sistema solo envía SMS a turnos agendados con suficiente anticipación, por lo que SMS_received está confundido con lead_time_days. Aislar el efecto real del recordatorio requeriría un diseño experimental (A/B test) fuera del alcance de este TP — se documenta explícitamente para no inducir a la Gerencia a la conclusión errónea de eliminar el recordatorio.</w:t>
      </w:r>
    </w:p>
    <w:p>
      <w:pPr/>
      <w:r>
        <w:t>El clima del día del turno (estación INMET A612, Vitória) aporta una señal débil frente al comportamiento del paciente: la diferencia de tasa de no-show entre días con y sin lluvia es de apenas unos pocos puntos porcentuales. Es un hallazgo honesto, no un fracaso: confirma que la inversión de negocio debe orientarse al lead time y no al pronóstico del tiempo, a la vez que satisface el requisito superador de integrar una segunda fuente de datos real.</w:t>
      </w:r>
    </w:p>
    <w:p>
      <w:r>
        <w:drawing>
          <wp:inline>
            <wp:extent cx="4320000" cy="345600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4320000" cy="3456000"/>
                    </a:xfrm>
                    <a:prstGeom prst="rect"/>
                  </pic:spPr>
                </pic:pic>
              </a:graphicData>
            </a:graphic>
          </wp:inline>
        </w:drawing>
      </w:r>
    </w:p>
    <w:p>
      <w:pPr/>
      <w:r>
        <w:rPr>
          <w:i/>
        </w:rPr>
        <w:t>Figura 4. Matriz de correlación de variables numéricas con el target.</w:t>
      </w:r>
    </w:p>
    <w:p>
      <w:pPr>
        <w:pStyle w:val="Heading2"/>
      </w:pPr>
      <w:r>
        <w:t>8.3. Técnica de minería: modelo, evaluación y umbral de decisión</w:t>
      </w:r>
    </w:p>
    <w:p>
      <w:pPr/>
      <w:r>
        <w:t>Se compararon dos modelos de clasificación binaria por validación cruzada estratificada (StratifiedKFold, 5 folds): un Árbol de Decisión podado (max_depth=6, min_samples_leaf=50) y un Random Forest sin podar (n_estimators=300, max_depth=12, min_samples_leaf=5, max_features='sqrt'). El Random Forest fue elegido por su mejor ROC-AUC de validación cruzada (0,739 ± 0,003 vs. 0,726 ± 0,004 del Árbol de Decisión).</w:t>
      </w:r>
    </w:p>
    <w:p>
      <w:r>
        <w:drawing>
          <wp:inline>
            <wp:extent cx="3960000" cy="2970000"/>
            <wp:docPr id="6" name="Picture 6"/>
            <wp:cNvGraphicFramePr>
              <a:graphicFrameLocks noChangeAspect="1"/>
            </wp:cNvGraphicFramePr>
            <a:graphic>
              <a:graphicData uri="http://schemas.openxmlformats.org/drawingml/2006/picture">
                <pic:pic>
                  <pic:nvPicPr>
                    <pic:cNvPr id="0" name="feature_importances.png"/>
                    <pic:cNvPicPr/>
                  </pic:nvPicPr>
                  <pic:blipFill>
                    <a:blip r:embed="rId14"/>
                    <a:stretch>
                      <a:fillRect/>
                    </a:stretch>
                  </pic:blipFill>
                  <pic:spPr>
                    <a:xfrm>
                      <a:off x="0" y="0"/>
                      <a:ext cx="3960000" cy="2970000"/>
                    </a:xfrm>
                    <a:prstGeom prst="rect"/>
                  </pic:spPr>
                </pic:pic>
              </a:graphicData>
            </a:graphic>
          </wp:inline>
        </w:drawing>
      </w:r>
    </w:p>
    <w:p>
      <w:pPr/>
      <w:r>
        <w:rPr>
          <w:i/>
        </w:rPr>
        <w:t>Figura 5. Importancia de variables del Random Forest: lead_time_days y same_day encabezan el ranking.</w:t>
      </w:r>
    </w:p>
    <w:p>
      <w:r>
        <w:drawing>
          <wp:inline>
            <wp:extent cx="3600000" cy="3600000"/>
            <wp:docPr id="7" name="Picture 7"/>
            <wp:cNvGraphicFramePr>
              <a:graphicFrameLocks noChangeAspect="1"/>
            </wp:cNvGraphicFramePr>
            <a:graphic>
              <a:graphicData uri="http://schemas.openxmlformats.org/drawingml/2006/picture">
                <pic:pic>
                  <pic:nvPicPr>
                    <pic:cNvPr id="0" name="roc_curve.png"/>
                    <pic:cNvPicPr/>
                  </pic:nvPicPr>
                  <pic:blipFill>
                    <a:blip r:embed="rId15"/>
                    <a:stretch>
                      <a:fillRect/>
                    </a:stretch>
                  </pic:blipFill>
                  <pic:spPr>
                    <a:xfrm>
                      <a:off x="0" y="0"/>
                      <a:ext cx="3600000" cy="3600000"/>
                    </a:xfrm>
                    <a:prstGeom prst="rect"/>
                  </pic:spPr>
                </pic:pic>
              </a:graphicData>
            </a:graphic>
          </wp:inline>
        </w:drawing>
      </w:r>
    </w:p>
    <w:p>
      <w:pPr/>
      <w:r>
        <w:rPr>
          <w:i/>
        </w:rPr>
        <w:t>Figura 6. Curva ROC del modelo elegido sobre el hold-out de test (AUC = 0,733).</w:t>
      </w:r>
    </w:p>
    <w:p>
      <w:pPr/>
      <w:r>
        <w:t>Dado que el costo de un Falso Negativo (no detectar un no-show real: la franja queda vacía sin acción preventiva) es mucho mayor que el de un Falso Positivo (recordatorio o sobreturno de más), se ajustó el umbral de decisión desde el 0,5 por defecto hacia un umbral orientado a recall. Bajando el umbral a 0,25, el recall de la clase no_show sube de ~0 % a ≈72 % (F1≈0,45), a costa de una precision más baja — un intercambio deseable dado el costo asimétrico del negocio.</w:t>
      </w:r>
    </w:p>
    <w:p>
      <w:r>
        <w:drawing>
          <wp:inline>
            <wp:extent cx="4320000" cy="2777143"/>
            <wp:docPr id="8" name="Picture 8"/>
            <wp:cNvGraphicFramePr>
              <a:graphicFrameLocks noChangeAspect="1"/>
            </wp:cNvGraphicFramePr>
            <a:graphic>
              <a:graphicData uri="http://schemas.openxmlformats.org/drawingml/2006/picture">
                <pic:pic>
                  <pic:nvPicPr>
                    <pic:cNvPr id="0" name="threshold_analysis.png"/>
                    <pic:cNvPicPr/>
                  </pic:nvPicPr>
                  <pic:blipFill>
                    <a:blip r:embed="rId16"/>
                    <a:stretch>
                      <a:fillRect/>
                    </a:stretch>
                  </pic:blipFill>
                  <pic:spPr>
                    <a:xfrm>
                      <a:off x="0" y="0"/>
                      <a:ext cx="4320000" cy="2777143"/>
                    </a:xfrm>
                    <a:prstGeom prst="rect"/>
                  </pic:spPr>
                </pic:pic>
              </a:graphicData>
            </a:graphic>
          </wp:inline>
        </w:drawing>
      </w:r>
    </w:p>
    <w:p>
      <w:pPr/>
      <w:r>
        <w:rPr>
          <w:i/>
        </w:rPr>
        <w:t>Figura 7. Precision/recall/F1 según el umbral de decisión; el umbral orientado a recall (0,25) queda cerca de la banda RISK_LOW (0,28) que usa la aplicación.</w:t>
      </w:r>
    </w:p>
    <w:p>
      <w:pPr>
        <w:pStyle w:val="Heading2"/>
      </w:pPr>
      <w:r>
        <w:t>8.4. Valor de negocio estimado</w:t>
      </w:r>
    </w:p>
    <w:p>
      <w:pPr/>
      <w:r>
        <w:t>Con el umbral orientado a recall (~0,25), el modelo detecta ≈72 % de los no-show reales del hold-out de test (4.463 casos), es decir, identifica con antelación unos 3.213 turnos que efectivamente iban a resultar en ausencia, sobre los cuales la institución puede accionar (recordatorio reforzado o sobreturno) antes de que la franja quede vacía sin aviso. Cada no-show anticipado y compensado con un sobreturno representa una hora-profesional recuperada; la aplicación funcional (Streamlit) permite estimar esta cifra de forma interactiva sobre una agenda real, variando el umbral y el modo de uso (turno individual o lote).</w:t>
      </w:r>
    </w:p>
    <w:p>
      <w:pPr>
        <w:pStyle w:val="Heading2"/>
      </w:pPr>
      <w:r>
        <w:t>8.5. Limitaciones</w:t>
      </w:r>
    </w:p>
    <w:p>
      <w:pPr/>
      <w:r>
        <w:t>Los datos corresponden a 2016, a una única ciudad (Vitória, ES, Brasil) y son pre-COVID: los patrones de asistencia a salud pueden haber cambiado estructuralmente desde entonces, por lo que el modelo no debe aplicarse tal cual a otra geografía o período sin revalidar. Además, existe concept drift esperable (estacionalidad, políticas de turnos, composición socioeconómica de los pacientes), por lo que se recomienda reentrenar periódicamente y monitorear ROC-AUC/recall en producción. La ventana de clima cubierta es acotada (~1,5 meses de 2016), y el efecto del SMS sobre el no-show está confundido con el lead time, por lo que no puede interpretarse causalmente sin un diseño experimental controlado. Finalmente, se trata de un modelo académico (TPO): no hay monitoreo continuo ni reentrenamiento automático en producción.</w:t>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pPr>
    <w:r w:rsidDel="00000000" w:rsidR="00000000" w:rsidRPr="00000000">
      <w:rPr>
        <w:rFonts w:ascii="Calibri" w:cs="Calibri" w:eastAsia="Calibri" w:hAnsi="Calibri"/>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bottom w:color="aebed4" w:space="4" w:sz="4" w:val="single"/>
      </w:pBdr>
      <w:tabs>
        <w:tab w:val="right" w:leader="none" w:pos="9026"/>
      </w:tabs>
      <w:rPr/>
    </w:pPr>
    <w:r w:rsidDel="00000000" w:rsidR="00000000" w:rsidRPr="00000000">
      <w:rPr>
        <w:rFonts w:ascii="Calibri" w:cs="Calibri" w:eastAsia="Calibri" w:hAnsi="Calibri"/>
        <w:color w:val="595959"/>
        <w:sz w:val="18"/>
        <w:szCs w:val="18"/>
        <w:rtl w:val="0"/>
      </w:rPr>
      <w:t xml:space="preserve">Ciencia de Datos — TPO </w:t>
    </w:r>
    <w:r w:rsidDel="00000000" w:rsidR="00000000" w:rsidRPr="00000000">
      <w:rPr>
        <w:rFonts w:ascii="Calibri" w:cs="Calibri" w:eastAsia="Calibri" w:hAnsi="Calibri"/>
        <w:i w:val="1"/>
        <w:iCs w:val="1"/>
        <w:color w:val="595959"/>
        <w:sz w:val="18"/>
        <w:szCs w:val="18"/>
        <w:rtl w:val="0"/>
      </w:rPr>
      <w:t xml:space="preserve">Dominio del Negocio e Hipótesis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b3a6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3gOFJXgBJXZcZTYuF9q3ZRoVQ==">CgMxLjA4AHIhMTdZVzF4aFR1Q0NHc3FFdzFfSnFMZHFnb200QWtmQWhj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