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drawing>
          <wp:inline distT="0" distB="0" distL="0" distR="0">
            <wp:extent cx="22860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Universidad Argentina de la Empresa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Facultad de Ingeniería y Ciencias Exactas</w:t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1B3A6B"/>
          <w:sz w:val="50"/>
          <w:szCs w:val="50"/>
        </w:rPr>
        <w:t xml:space="preserve">Trabajo Práctico Obligatorio</w:t>
      </w:r>
    </w:p>
    <w:p>
      <w:pPr>
        <w:pBdr>
          <w:bottom w:val="single" w:color="1B3A6B" w:sz="8" w:space="6"/>
        </w:pBdr>
        <w:spacing w:after="40"/>
        <w:jc w:val="center"/>
      </w:pPr>
      <w:r>
        <w:rPr>
          <w:rFonts w:ascii="Calibri" w:cs="Calibri" w:eastAsia="Calibri" w:hAnsi="Calibri"/>
          <w:color w:val="000000"/>
          <w:sz w:val="30"/>
          <w:szCs w:val="30"/>
        </w:rPr>
        <w:t xml:space="preserve">Ciencia de Datos (3.4.217)</w:t>
      </w:r>
    </w:p>
    <w:p>
      <w:pPr>
        <w:spacing w:after="700" w:before="240"/>
        <w:jc w:val="center"/>
      </w:pP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Dominio del Negocio e Hipótesis</w:t>
      </w:r>
    </w:p>
    <w:tbl>
      <w:tblPr>
        <w:tblW w:type="pct" w:w="80%"/>
        <w:jc w:val="center"/>
        <w:tblBorders>
          <w:top w:val="single" w:color="AEBED4" w:sz="3"/>
          <w:left w:val="single" w:color="AEBED4" w:sz="3"/>
          <w:bottom w:val="single" w:color="AEBED4" w:sz="3"/>
          <w:right w:val="single" w:color="AEBED4" w:sz="3"/>
          <w:insideH w:val="single" w:color="AEBED4" w:sz="3"/>
          <w:insideV w:val="single" w:color="AEBED4" w:sz="3"/>
        </w:tblBorders>
      </w:tblPr>
      <w:tblGrid>
        <w:gridCol w:w="100"/>
        <w:gridCol w:w="100"/>
      </w:tblGrid>
      <w:tr>
        <w:tc>
          <w:tcPr>
            <w:tcW w:type="pct" w:w="35%"/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Comisión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6423 — Viernes 07:45–11:45</w:t>
            </w:r>
          </w:p>
        </w:tc>
      </w:tr>
      <w:tr>
        <w:tc>
          <w:tcPr>
            <w:tcW w:type="pct" w:w="35%"/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Docente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Santiago Gabriel Martin</w:t>
            </w:r>
          </w:p>
        </w:tc>
      </w:tr>
      <w:tr>
        <w:tc>
          <w:tcPr>
            <w:tcW w:type="pct" w:w="35%"/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Cuatrimestre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1.º cuatrimestre 2026</w:t>
            </w:r>
          </w:p>
        </w:tc>
      </w:tr>
      <w:tr>
        <w:tc>
          <w:tcPr>
            <w:tcW w:type="pct" w:w="35%"/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Dominio elegido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No-show de turnos médicos</w:t>
            </w:r>
          </w:p>
        </w:tc>
      </w:tr>
      <w:tr>
        <w:tc>
          <w:tcPr>
            <w:tcW w:type="pct" w:w="35%"/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Integrantes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 Apellido — LU] · [Nombre Apellido — LU] · [Nombre Apellido — LU]</w:t>
            </w:r>
          </w:p>
        </w:tc>
      </w:tr>
      <w:tr>
        <w:tc>
          <w:tcPr>
            <w:tcW w:type="pct" w:w="35%"/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Fecha de entrega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[completar]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Selección del Dominio del Negocio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1.1. Descripción del dominio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Un centro de salud ambulatorio (clínica u hospital) atiende a sus pacientes mediante turnos programados. El circuito de atención es el siguiente: el paciente solicita un turno —de forma presencial, telefónica o web—, se le asigna una fecha y un horario con un profesional y, el día indicado, asiste a la consulta o no lo hace.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La agenda del profesional constituye el recurso central del negocio: cada franja horaria tiene un costo fijo —el tiempo del médico— y una capacidad limitada. La gestión eficiente de esa agenda determina cuántos pacientes se atienden y con qué nivel de espera.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1.2. Problemática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ausentismo a turnos médicos</w:t>
      </w:r>
      <w:r>
        <w:rPr>
          <w:rFonts w:ascii="Calibri" w:cs="Calibri" w:eastAsia="Calibri" w:hAnsi="Calibri"/>
        </w:rPr>
        <w:t xml:space="preserve"> (en inglés, </w:t>
      </w:r>
      <w:r>
        <w:rPr>
          <w:rFonts w:ascii="Calibri" w:cs="Calibri" w:eastAsia="Calibri" w:hAnsi="Calibri"/>
          <w:i/>
          <w:iCs/>
        </w:rPr>
        <w:t xml:space="preserve">no-show</w:t>
      </w:r>
      <w:r>
        <w:rPr>
          <w:rFonts w:ascii="Calibri" w:cs="Calibri" w:eastAsia="Calibri" w:hAnsi="Calibri"/>
        </w:rPr>
        <w:t xml:space="preserve">) ronda el </w:t>
      </w:r>
      <w:r>
        <w:rPr>
          <w:rFonts w:ascii="Calibri" w:cs="Calibri" w:eastAsia="Calibri" w:hAnsi="Calibri"/>
          <w:b/>
          <w:bCs/>
        </w:rPr>
        <w:t xml:space="preserve">20–30 % </w:t>
      </w:r>
      <w:r>
        <w:rPr>
          <w:rFonts w:ascii="Calibri" w:cs="Calibri" w:eastAsia="Calibri" w:hAnsi="Calibri"/>
        </w:rPr>
        <w:t xml:space="preserve">de los turnos otorgados. Cuando un paciente no asiste y no avisa con antelación, se producen dos efectos negativos simultáneos: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</w:rPr>
        <w:t xml:space="preserve">La franja horaria queda ociosa: una hora del profesional que la institución igualmente debe afrontar.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</w:rPr>
        <w:t xml:space="preserve">Otro paciente que sí habría asistido no pudo ocupar ese lugar, lo que incrementa la lista de espera.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Se trata, por lo tanto, de un </w:t>
      </w:r>
      <w:r>
        <w:rPr>
          <w:rFonts w:ascii="Calibri" w:cs="Calibri" w:eastAsia="Calibri" w:hAnsi="Calibri"/>
          <w:b/>
          <w:bCs/>
        </w:rPr>
        <w:t xml:space="preserve">doble costo</w:t>
      </w:r>
      <w:r>
        <w:rPr>
          <w:rFonts w:ascii="Calibri" w:cs="Calibri" w:eastAsia="Calibri" w:hAnsi="Calibri"/>
        </w:rPr>
        <w:t xml:space="preserve">: un recurso médico desperdiciado y un peor acceso a la atención para el resto de los pacientes. En la actualidad, la institución no dispone de información anticipada sobre quién faltará, de modo que no puede tomar ninguna acción preventiva.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1.3. Propuesta de valor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La propuesta consiste en predecir, en el momento mismo de agendar el turno, la probabilidad de que cada paciente falte, con el fin de accionar sobre aquellos de mayor riesgo mediante: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Recordatorios dirigidos</w:t>
      </w:r>
      <w:r>
        <w:rPr>
          <w:rFonts w:ascii="Calibri" w:cs="Calibri" w:eastAsia="Calibri" w:hAnsi="Calibri"/>
        </w:rPr>
        <w:t xml:space="preserve"> (SMS o llamado telefónico) a los pacientes con mayor probabilidad de ausentarse.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Sobreturnos controlados</w:t>
      </w:r>
      <w:r>
        <w:rPr>
          <w:rFonts w:ascii="Calibri" w:cs="Calibri" w:eastAsia="Calibri" w:hAnsi="Calibri"/>
        </w:rPr>
        <w:t xml:space="preserve"> en las franjas horarias de alto riesgo de ausentismo.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</w:rPr>
        <w:t xml:space="preserve">Valor para el negocio: </w:t>
      </w:r>
      <w:r>
        <w:rPr>
          <w:rFonts w:ascii="Calibri" w:cs="Calibri" w:eastAsia="Calibri" w:hAnsi="Calibri"/>
        </w:rPr>
        <w:t xml:space="preserve">reducción del ausentismo, mejor aprovechamiento de la agenda y disminución de la lista de espera, sin necesidad de incorporar recursos adicionales. Cada turno no perdido recupera una hora efectiva de atención.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1.4. Fuentes de datos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</w:rPr>
        <w:t xml:space="preserve">Fuente principal — </w:t>
      </w:r>
      <w:r>
        <w:rPr>
          <w:rFonts w:ascii="Calibri" w:cs="Calibri" w:eastAsia="Calibri" w:hAnsi="Calibri"/>
          <w:b/>
          <w:bCs/>
          <w:i/>
          <w:iCs/>
        </w:rPr>
        <w:t xml:space="preserve">Medical Appointment No Shows</w:t>
      </w:r>
      <w:r>
        <w:rPr>
          <w:rFonts w:ascii="Calibri" w:cs="Calibri" w:eastAsia="Calibri" w:hAnsi="Calibri"/>
          <w:b/>
          <w:bCs/>
        </w:rPr>
        <w:t xml:space="preserve"> (Kaggle)</w:t>
      </w:r>
    </w:p>
    <w:tbl>
      <w:tblPr>
        <w:tblW w:type="pct" w:w="100%"/>
        <w:tblBorders>
          <w:top w:val="single" w:color="AEBED4" w:sz="3"/>
          <w:left w:val="single" w:color="AEBED4" w:sz="3"/>
          <w:bottom w:val="single" w:color="AEBED4" w:sz="3"/>
          <w:right w:val="single" w:color="AEBED4" w:sz="3"/>
          <w:insideH w:val="single" w:color="AEBED4" w:sz="3"/>
          <w:insideV w:val="single" w:color="AEBED4" w:sz="3"/>
        </w:tblBorders>
      </w:tblPr>
      <w:tblGrid>
        <w:gridCol w:w="100"/>
        <w:gridCol w:w="100"/>
      </w:tblGrid>
      <w:tr>
        <w:tc>
          <w:tcPr>
            <w:tcW w:type="pct" w:w="25%"/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Atributo</w:t>
            </w:r>
          </w:p>
        </w:tc>
        <w:tc>
          <w:tcPr>
            <w:tcW w:type="pct" w:w="75%"/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Origen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Kaggle — registros reales de turnos de salud pública de Brasil.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Volumen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Más de 110.000 turnos (filas).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Variables (14)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Edad, género, barrio, fechas de agendamiento y de turno, comorbilidades (diabetes, hipertensión, alcoholismo, discapacidad), recepción de SMS, beca social y la variable objetivo: asistió / no asistió.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Justificación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Conjunto de datos limpio, masivo y documentado, con la variable a predecir ya etiquetada. Combina variables categóricas y numéricas, lo que habilita el análisis exploratorio y la ingeniería de características.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</w:rPr>
        <w:t xml:space="preserve">Fuente secundaria — </w:t>
      </w:r>
      <w:r>
        <w:rPr>
          <w:rFonts w:ascii="Calibri" w:cs="Calibri" w:eastAsia="Calibri" w:hAnsi="Calibri"/>
          <w:b/>
          <w:bCs/>
        </w:rPr>
        <w:t xml:space="preserve">Clima por fecha</w:t>
      </w:r>
      <w:r>
        <w:rPr>
          <w:rFonts w:ascii="Calibri" w:cs="Calibri" w:eastAsia="Calibri" w:hAnsi="Calibri"/>
          <w:b/>
          <w:bCs/>
        </w:rPr>
        <w:t xml:space="preserve"> (expectativa superadora)</w:t>
      </w:r>
    </w:p>
    <w:tbl>
      <w:tblPr>
        <w:tblW w:type="pct" w:w="100%"/>
        <w:tblBorders>
          <w:top w:val="single" w:color="AEBED4" w:sz="3"/>
          <w:left w:val="single" w:color="AEBED4" w:sz="3"/>
          <w:bottom w:val="single" w:color="AEBED4" w:sz="3"/>
          <w:right w:val="single" w:color="AEBED4" w:sz="3"/>
          <w:insideH w:val="single" w:color="AEBED4" w:sz="3"/>
          <w:insideV w:val="single" w:color="AEBED4" w:sz="3"/>
        </w:tblBorders>
      </w:tblPr>
      <w:tblGrid>
        <w:gridCol w:w="100"/>
        <w:gridCol w:w="100"/>
      </w:tblGrid>
      <w:tr>
        <w:tc>
          <w:tcPr>
            <w:tcW w:type="pct" w:w="25%"/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Atributo</w:t>
            </w:r>
          </w:p>
        </w:tc>
        <w:tc>
          <w:tcPr>
            <w:tcW w:type="pct" w:w="75%"/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Origen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Conjunto de datos o API meteorológica histórica (clima diario por ciudad y fecha).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Integración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Se cruza por la fecha del turno —dato ya presente en la fuente principal—, por lo que la integración es directa.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Justificación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Permite analizar si la lluvia o la temperatura inciden en el ausentismo, y satisface el requisito superador de utilizar varias fuentes de datos distintas.</w:t>
            </w:r>
          </w:p>
        </w:tc>
      </w:tr>
    </w:tbl>
    <w:p>
      <w:pPr>
        <w:pBdr>
          <w:left w:val="single" w:color="B45309" w:sz="18" w:space="12"/>
        </w:pBdr>
        <w:spacing w:after="0" w:before="120"/>
        <w:ind w:left="360"/>
        <w:jc w:val="both"/>
      </w:pPr>
      <w:r>
        <w:rPr>
          <w:rFonts w:ascii="Calibri" w:cs="Calibri" w:eastAsia="Calibri" w:hAnsi="Calibri"/>
          <w:b/>
          <w:bCs/>
          <w:color w:val="B45309"/>
        </w:rPr>
        <w:t xml:space="preserve">A confirmar con el docente: </w:t>
      </w:r>
      <w:r>
        <w:rPr>
          <w:rFonts w:ascii="Calibri" w:cs="Calibri" w:eastAsia="Calibri" w:hAnsi="Calibri"/>
          <w:i/>
          <w:iCs/>
        </w:rPr>
        <w:t xml:space="preserve">¿el cruce del conjunto de datos principal con el clima por fecha se considera «varias fuentes de datos distintas» a los efectos de la expectativa superadora?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Desarrollo de la Hipótesis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Definidos el dominio y las fuentes de datos, se plantea a continuación la pregunta concreta que el proyecto busca responder y el modo en que esa respuesta se traduce en valor para la organización.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2.1. Hipótesis: qué proponemos resolver</w:t>
      </w:r>
    </w:p>
    <w:p>
      <w:pPr>
        <w:pBdr>
          <w:left w:val="single" w:color="1B3A6B" w:sz="18" w:space="12"/>
        </w:pBdr>
        <w:spacing w:after="160" w:before="60" w:line="300"/>
        <w:ind w:left="360"/>
        <w:jc w:val="both"/>
      </w:pPr>
      <w:r>
        <w:rPr>
          <w:rFonts w:ascii="Calibri" w:cs="Calibri" w:eastAsia="Calibri" w:hAnsi="Calibri"/>
          <w:i/>
          <w:iCs/>
        </w:rPr>
        <w:t xml:space="preserve">Es posible predecir, en el momento en que se agenda un turno, qué pacientes faltarán a la consulta a partir de sus características y del contexto del turno; y utilizar esa predicción para reducir el costo del ausentismo mediante recordatorios dirigidos y la asignación de sobreturnos.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La hipótesis es verificable: el modelo predictivo entregará, para cada turno, una probabilidad de ausencia que podrá contrastarse contra lo efectivamente ocurrido, y cuyo acierto se medirá con métricas objetivas (véase sección 2.3).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2.2. Audiencia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Conforme a la consigna, la audiencia del trabajo es la Gerencia Comercial y Técnica. El mensaje se adapta a cada una: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Gerencia Comercial: </w:t>
      </w:r>
      <w:r>
        <w:rPr>
          <w:rFonts w:ascii="Calibri" w:cs="Calibri" w:eastAsia="Calibri" w:hAnsi="Calibri"/>
        </w:rPr>
        <w:t xml:space="preserve">se enfatiza el impacto en el aprovechamiento de la agenda, los ingresos recuperados por hora-profesional, la reducción de la lista de espera y la mejora en el acceso de los pacientes.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Gerencia Técnica: </w:t>
      </w:r>
      <w:r>
        <w:rPr>
          <w:rFonts w:ascii="Calibri" w:cs="Calibri" w:eastAsia="Calibri" w:hAnsi="Calibri"/>
        </w:rPr>
        <w:t xml:space="preserve">se detalla el modelo de minería empleado, el pipeline de datos que lo alimenta y las métricas que garantizan la confiabilidad de la predicción.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2.3. Cómo se resuelve la hipótesis para la entrega de valor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La resolución se apoya en una técnica de aprendizaje supervisado de las estudiadas en la asignatura: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Técnica: </w:t>
      </w:r>
      <w:r>
        <w:rPr>
          <w:rFonts w:ascii="Calibri" w:cs="Calibri" w:eastAsia="Calibri" w:hAnsi="Calibri"/>
        </w:rPr>
        <w:t xml:space="preserve">clasificación binaria (asiste / no asiste) mediante árboles de decisión y Random Forest. La variable objetivo es categórica de dos clases, lo que encuadra el problema como clasificación.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Evaluación: </w:t>
      </w:r>
      <w:r>
        <w:rPr>
          <w:rFonts w:ascii="Calibri" w:cs="Calibri" w:eastAsia="Calibri" w:hAnsi="Calibri"/>
        </w:rPr>
        <w:t xml:space="preserve">dado que las clases están desbalanceadas (aproximadamente 80 % de asistencia frente a 20 % de ausencia), el desempeño se mide con precision, recall, F1 y AUC, y no únicamente con accuracy —una métrica que, ante este desbalanceo, resultaría engañosa.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Entrega de valor: </w:t>
      </w:r>
      <w:r>
        <w:rPr>
          <w:rFonts w:ascii="Calibri" w:cs="Calibri" w:eastAsia="Calibri" w:hAnsi="Calibri"/>
        </w:rPr>
        <w:t xml:space="preserve">el modelo devuelve una probabilidad de ausencia por turno; sobre ella, la aplicación funcional recomienda la acción correspondiente (recordatorio o sobreturno). Cada turno no perdido recupera una hora efectiva de atención, materializando el valor propuesto para el negocio.</w:t>
      </w:r>
    </w:p>
    <w:p>
      <w:pPr>
        <w:pBdr>
          <w:left w:val="single" w:color="1B3A6B" w:sz="18" w:space="12"/>
        </w:pBdr>
        <w:spacing w:after="0" w:before="120"/>
        <w:ind w:left="360"/>
        <w:jc w:val="both"/>
      </w:pPr>
      <w:r>
        <w:rPr>
          <w:rFonts w:ascii="Calibri" w:cs="Calibri" w:eastAsia="Calibri" w:hAnsi="Calibri"/>
          <w:b/>
          <w:bCs/>
          <w:color w:val="1B3A6B"/>
        </w:rPr>
        <w:t xml:space="preserve">Coherencia hipótesis–conclusión: </w:t>
      </w:r>
      <w:r>
        <w:rPr>
          <w:rFonts w:ascii="Calibri" w:cs="Calibri" w:eastAsia="Calibri" w:hAnsi="Calibri"/>
          <w:i/>
          <w:iCs/>
        </w:rPr>
        <w:t xml:space="preserve">la métrica del modelo responde de forma directa a la hipótesis planteada, criterio que la consigna evalúa explícitamente.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Metodología de trabajo y organización del equipo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3.1. Enfoque metodológico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El proyecto combina una metodología de ciencia de datos con una metodología ágil de gestión: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Proceso de minería de datos — CRISP-DM: </w:t>
      </w:r>
      <w:r>
        <w:rPr>
          <w:rFonts w:ascii="Calibri" w:cs="Calibri" w:eastAsia="Calibri" w:hAnsi="Calibri"/>
        </w:rPr>
        <w:t xml:space="preserve">el trabajo recorre sus fases (comprensión del negocio, comprensión de los datos, preparación, modelado, evaluación y despliegue), que se corresponden con las secciones de este proyecto.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Gestión del proyecto — metodología ágil: </w:t>
      </w:r>
      <w:r>
        <w:rPr>
          <w:rFonts w:ascii="Calibri" w:cs="Calibri" w:eastAsia="Calibri" w:hAnsi="Calibri"/>
        </w:rPr>
        <w:t xml:space="preserve">se adopta un enfoque iterativo basado en Kanban (tablero To Do / Doing / Done en GitHub Projects), con iteraciones cortas alineadas a las entregas parciales de la cátedra para revisar avances y reencauzar el trabajo.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b/>
          <w:bCs/>
        </w:rPr>
        <w:t xml:space="preserve">Versionado — GitHub: </w:t>
      </w:r>
      <w:r>
        <w:rPr>
          <w:rFonts w:ascii="Calibri" w:cs="Calibri" w:eastAsia="Calibri" w:hAnsi="Calibri"/>
        </w:rPr>
        <w:t xml:space="preserve">todo el código del proyecto de datos (notebook de EDA y modelado, y la aplicación funcional) se versiona en un repositorio de GitHub, con commits descriptivos y trabajo por ramas.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Esta combinación responde a las expectativas superadoras de la consigna (administración del proyecto con metodologías ágiles y versionado del código).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3.2. Roles del equipo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Cada integrante asume un rol específico y expone su área de influencia durante la presentación, conforme lo exige la consigna. Los roles propuestos son:</w:t>
      </w:r>
    </w:p>
    <w:tbl>
      <w:tblPr>
        <w:tblW w:type="pct" w:w="100%"/>
        <w:tblBorders>
          <w:top w:val="single" w:color="AEBED4" w:sz="3"/>
          <w:left w:val="single" w:color="AEBED4" w:sz="3"/>
          <w:bottom w:val="single" w:color="AEBED4" w:sz="3"/>
          <w:right w:val="single" w:color="AEBED4" w:sz="3"/>
          <w:insideH w:val="single" w:color="AEBED4" w:sz="3"/>
          <w:insideV w:val="single" w:color="AEBED4" w:sz="3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pct" w:w="48%"/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Responsabilidad</w:t>
            </w:r>
          </w:p>
        </w:tc>
        <w:tc>
          <w:tcPr>
            <w:tcW w:type="pct" w:w="20%"/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Integrante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Líder de proyecto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Coordina el equipo y la metodología ágil; expone el dominio, la problemática y la propuesta de valor.</w:t>
            </w:r>
          </w:p>
        </w:tc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Ingeniero de datos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Selección e ingesta de fuentes (Kaggle y fuente secundaria), limpieza y construcción del pipeline de datos.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Analista de datos (EDA)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Análisis exploratorio, control de calidad de datos y visualizaciones descriptivas.</w:t>
            </w:r>
          </w:p>
        </w:tc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Especialista en modelado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Ingeniería de características, entrenamiento del modelo (árbol de decisión / Random Forest) y evaluación con métricas.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Desarrollador de la aplicación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Construcción de la aplicación funcional interactiva y conexión con el modelo; conclusión y storytelling.</w:t>
            </w:r>
          </w:p>
        </w:tc>
        <w:tc>
          <w:tcPr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[Nombre]</w:t>
            </w:r>
          </w:p>
        </w:tc>
      </w:tr>
    </w:tbl>
    <w:p>
      <w:pPr>
        <w:pBdr>
          <w:left w:val="single" w:color="B45309" w:sz="18" w:space="12"/>
        </w:pBdr>
        <w:spacing w:after="0" w:before="100"/>
        <w:ind w:left="360"/>
        <w:jc w:val="both"/>
      </w:pPr>
      <w:r>
        <w:rPr>
          <w:rFonts w:ascii="Calibri" w:cs="Calibri" w:eastAsia="Calibri" w:hAnsi="Calibri"/>
          <w:b/>
          <w:bCs/>
          <w:color w:val="B45309"/>
        </w:rPr>
        <w:t xml:space="preserve">Nota: </w:t>
      </w:r>
      <w:r>
        <w:rPr>
          <w:rFonts w:ascii="Calibri" w:cs="Calibri" w:eastAsia="Calibri" w:hAnsi="Calibri"/>
          <w:i/>
          <w:iCs/>
        </w:rPr>
        <w:t xml:space="preserve">ajustar la cantidad de roles a la cantidad de integrantes del grupo; un integrante puede asumir más de un rol si fuera necesario.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BED4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Ciencia de Datos — TPO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Dominio del Negocio e Hipótesis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7a25e560078a731e8d885ab7df7e49b00564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TPO Ciencia de Datos — Dominio del Negocio e Hipótesis</dc:title>
  <dc:creator>TPO Ciencia de Datos — UADE</dc:creator>
  <cp:lastModifiedBy>Un-named</cp:lastModifiedBy>
  <cp:revision>1</cp:revision>
  <dcterms:created xsi:type="dcterms:W3CDTF">2026-06-11T00:04:05.986Z</dcterms:created>
  <dcterms:modified xsi:type="dcterms:W3CDTF">2026-06-11T00:04:05.986Z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