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1C09844D" w:rsidR="001B1890" w:rsidRDefault="00A56FF7">
      <w:pPr>
        <w:pStyle w:val="Ttulo1"/>
      </w:pPr>
      <w:r>
        <w:lastRenderedPageBreak/>
        <w:t>RESUMEN</w:t>
      </w:r>
    </w:p>
    <w:p w14:paraId="26E39844" w14:textId="77777777" w:rsidR="001B1890" w:rsidRDefault="00A56FF7" w:rsidP="006A0DFC">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529F45EE" w14:textId="34254322" w:rsidR="001B1890" w:rsidRDefault="00A56FF7" w:rsidP="006A0DFC">
      <w:pPr>
        <w:spacing w:before="160" w:after="80" w:line="360" w:lineRule="auto"/>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3.2. Caso de estudio: La historia oficial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4.3. Casos de estudio: Un lugar en el mundo y 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1F4813FD" w14:textId="1F271417" w:rsidR="00AB54B8" w:rsidRDefault="00DF31CA" w:rsidP="00DF31CA">
      <w:pPr>
        <w:spacing w:line="360" w:lineRule="auto"/>
        <w:jc w:val="both"/>
      </w:pPr>
      <w:r>
        <w:tab/>
        <w:t xml:space="preserve">Previo al fenómeno del exilio y a las coproducciones de finales del siglo XX, Argentina había construido un modelo basado en la industria y el clasicismo que tuvo lugar entre los años 1933 y 1956, que sitúa como su piedra angular la película </w:t>
      </w:r>
      <w:r w:rsidR="00AB54B8">
        <w:t>¡</w:t>
      </w:r>
      <w:r>
        <w:t>Tango!</w:t>
      </w:r>
      <w:r w:rsidR="00AB54B8">
        <w:t xml:space="preserve"> de Luis Moglia Barth del año 1933, largometraje realizado bajo el sello de Argentina Sono Film, productora fundada ese mismo año principalmente por </w:t>
      </w:r>
      <w:r w:rsidR="008A0399">
        <w:t>Ángel</w:t>
      </w:r>
      <w:r w:rsidR="00AB54B8">
        <w:t xml:space="preserve"> Mentasti. </w:t>
      </w:r>
      <w:r>
        <w:rPr>
          <w:rStyle w:val="Refdenotaalpie"/>
        </w:rPr>
        <w:footnoteReference w:id="27"/>
      </w:r>
    </w:p>
    <w:p w14:paraId="664B64D0" w14:textId="327D93AF" w:rsidR="00955669" w:rsidRDefault="00AB54B8" w:rsidP="00DF31CA">
      <w:pPr>
        <w:spacing w:line="360" w:lineRule="auto"/>
        <w:jc w:val="both"/>
      </w:pPr>
      <w:r>
        <w:t xml:space="preserve">Por otro lado, </w:t>
      </w:r>
      <w:r w:rsidR="00955669">
        <w:t xml:space="preserve">en abierta competencia comercial se encontraba la productora </w:t>
      </w:r>
      <w:proofErr w:type="spellStart"/>
      <w:r w:rsidR="00955669">
        <w:t>Lumiton</w:t>
      </w:r>
      <w:proofErr w:type="spellEnd"/>
      <w:r w:rsidR="00955669">
        <w:t xml:space="preserve"> con largometrajes como “Los tres berretines”, una comedia que se constituye como la primera película de esta productora. </w:t>
      </w:r>
      <w:r>
        <w:rPr>
          <w:rStyle w:val="Refdenotaalpie"/>
        </w:rPr>
        <w:footnoteReference w:id="28"/>
      </w:r>
    </w:p>
    <w:p w14:paraId="22D5FAD6" w14:textId="24644792" w:rsidR="006325B9" w:rsidRDefault="00955669" w:rsidP="00DF31CA">
      <w:pPr>
        <w:spacing w:line="360" w:lineRule="auto"/>
        <w:jc w:val="both"/>
      </w:pPr>
      <w:r>
        <w:tab/>
        <w:t>Las bases del puente entre España y</w:t>
      </w:r>
      <w:r w:rsidR="00E00314">
        <w:t xml:space="preserve"> las Americas </w:t>
      </w:r>
      <w:r>
        <w:t xml:space="preserve">no fueron nulas sino que se </w:t>
      </w:r>
      <w:r w:rsidR="00E00314">
        <w:t xml:space="preserve">devendrán diferentes acontecimientos producto de ese objetivo de forjar un </w:t>
      </w:r>
      <w:r w:rsidR="006325B9">
        <w:t>vínculo</w:t>
      </w:r>
      <w:r w:rsidR="00E00314">
        <w:t xml:space="preserve"> </w:t>
      </w:r>
      <w:r w:rsidR="006325B9">
        <w:t>transatlántico</w:t>
      </w:r>
      <w:r w:rsidR="00E00314">
        <w:t xml:space="preserve">, entre ellos se encuentra el II Congreso </w:t>
      </w:r>
      <w:r w:rsidR="006325B9">
        <w:t>Cinematográfico</w:t>
      </w:r>
      <w:r w:rsidR="00E00314">
        <w:t xml:space="preserve"> Hispanoamericano que se data en 1948 con participantes como Argentina, Cuba, España o México. Otro acontecimiento de singular trascendencia resulta el Consejo de la Hispanidad de 1940 que propiciará la fundación del Instituto de Cultura Hispánica en 1945</w:t>
      </w:r>
      <w:r w:rsidR="006325B9">
        <w:t xml:space="preserve"> con el objetivo de vincular las industrias de habla hispana frente a la agresiva comercialización de Hollywood.</w:t>
      </w:r>
      <w:r>
        <w:rPr>
          <w:rStyle w:val="Refdenotaalpie"/>
        </w:rPr>
        <w:footnoteReference w:id="29"/>
      </w:r>
    </w:p>
    <w:p w14:paraId="485D3BF2" w14:textId="77777777" w:rsidR="00E05854" w:rsidRDefault="006325B9" w:rsidP="00E05854">
      <w:pPr>
        <w:spacing w:line="360" w:lineRule="auto"/>
        <w:jc w:val="both"/>
      </w:pPr>
      <w:r>
        <w:lastRenderedPageBreak/>
        <w:tab/>
        <w:t xml:space="preserve">La traducción practica de este andamiaje institucional se materializó en Jalisco canta en Sevilla (1948) filmada poco después del congreso </w:t>
      </w:r>
      <w:r w:rsidR="008A0399">
        <w:t>de 1948, se corresponde con la primera coproducción de cine sonoro entre Mexico y España.</w:t>
      </w:r>
      <w:r w:rsidR="007E516A">
        <w:t xml:space="preserve"> Ambos países realizaron su aporte propio del </w:t>
      </w:r>
      <w:r w:rsidR="00D462CF">
        <w:t>género</w:t>
      </w:r>
      <w:r w:rsidR="007E516A">
        <w:t xml:space="preserve"> nacional, la comedia ranchera y la españolada de la segunda mitad de los años 40</w:t>
      </w:r>
      <w:r w:rsidR="00D462CF">
        <w:t xml:space="preserve"> y a este escenario se suma la participación de Jorge Negrete cuya presencia suponía un manifestación humana del ideal de Hispanidad, fue instrumentalizado por el franquismo a pesar de sus reticencias hacia él.</w:t>
      </w:r>
      <w:r>
        <w:rPr>
          <w:rStyle w:val="Refdenotaalpie"/>
        </w:rPr>
        <w:footnoteReference w:id="30"/>
      </w:r>
    </w:p>
    <w:p w14:paraId="04CA9768" w14:textId="2A21D825" w:rsidR="001B1890" w:rsidRDefault="00A56FF7" w:rsidP="00E05854">
      <w:pPr>
        <w:pStyle w:val="Ttulo1"/>
      </w:pPr>
      <w:r>
        <w:t>2.</w:t>
      </w:r>
      <w:r w:rsidR="00E05854">
        <w:t xml:space="preserve">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r>
        <w:rPr>
          <w:rStyle w:val="Refdenotaalpie"/>
        </w:rPr>
        <w:footnoteReference w:id="31"/>
      </w:r>
    </w:p>
    <w:p w14:paraId="62A41DC9" w14:textId="77777777" w:rsidR="00E05854" w:rsidRDefault="00E05854" w:rsidP="00D85B76">
      <w:pPr>
        <w:spacing w:after="160" w:line="360" w:lineRule="auto"/>
        <w:ind w:firstLine="720"/>
        <w:jc w:val="both"/>
      </w:pPr>
    </w:p>
    <w:p w14:paraId="1E0536BF" w14:textId="77777777" w:rsidR="00E05854" w:rsidRDefault="00E05854" w:rsidP="00D85B76">
      <w:pPr>
        <w:spacing w:after="160" w:line="360" w:lineRule="auto"/>
        <w:ind w:firstLine="720"/>
        <w:jc w:val="both"/>
      </w:pPr>
    </w:p>
    <w:p w14:paraId="51B68FEB" w14:textId="77777777" w:rsidR="00E05854" w:rsidRDefault="00E05854" w:rsidP="00D85B76">
      <w:pPr>
        <w:spacing w:after="160" w:line="360" w:lineRule="auto"/>
        <w:ind w:firstLine="720"/>
        <w:jc w:val="both"/>
      </w:pPr>
    </w:p>
    <w:p w14:paraId="42D1710F" w14:textId="77777777" w:rsidR="00E05854" w:rsidRDefault="00E05854" w:rsidP="00D85B76">
      <w:pPr>
        <w:spacing w:after="160" w:line="360" w:lineRule="auto"/>
        <w:ind w:firstLine="720"/>
        <w:jc w:val="both"/>
      </w:pPr>
    </w:p>
    <w:p w14:paraId="0C0DAD9F" w14:textId="28160618" w:rsidR="00D85B76" w:rsidRDefault="00BC5528" w:rsidP="00D85B76">
      <w:pPr>
        <w:spacing w:after="160" w:line="360" w:lineRule="auto"/>
        <w:ind w:firstLine="720"/>
        <w:jc w:val="both"/>
      </w:pPr>
      <w:r>
        <w:lastRenderedPageBreak/>
        <w:t>Destierro que, en consecuencia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r>
        <w:rPr>
          <w:rStyle w:val="Refdenotaalpie"/>
        </w:rPr>
        <w:footnoteReference w:id="32"/>
      </w:r>
      <w:r>
        <w:rPr>
          <w:rStyle w:val="Refdenotaalpie"/>
        </w:rPr>
        <w:footnoteReference w:id="33"/>
      </w:r>
    </w:p>
    <w:p w14:paraId="7AEDE12C" w14:textId="24AED33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r w:rsidR="00560619">
        <w:t>López</w:t>
      </w:r>
      <w:r>
        <w:t xml:space="preserve"> Rega hacia mitad de 1975, el presidente provisional del Senado firmó en octubre de ese mismo año los decretos de aniquilamiento</w:t>
      </w:r>
      <w:r w:rsidR="00560156">
        <w:t xml:space="preserve"> mediante los cuales entregaba la seguridad interna a las fuerzas armadas.</w:t>
      </w:r>
      <w:r>
        <w:rPr>
          <w:rStyle w:val="Refdenotaalpie"/>
        </w:rPr>
        <w:footnoteReference w:id="34"/>
      </w:r>
    </w:p>
    <w:p w14:paraId="269074B3" w14:textId="6196342F" w:rsidR="001B1890" w:rsidRDefault="00A56FF7">
      <w:pPr>
        <w:spacing w:after="160" w:line="360" w:lineRule="auto"/>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5"/>
      </w:r>
      <w:r>
        <w:t xml:space="preserve"> </w:t>
      </w:r>
      <w:r>
        <w:footnoteReference w:id="6"/>
      </w:r>
    </w:p>
    <w:p w14:paraId="0ED9C0FC" w14:textId="77777777" w:rsidR="001B1890" w:rsidRDefault="00A56FF7">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w:t>
      </w:r>
      <w:r>
        <w:lastRenderedPageBreak/>
        <w:t xml:space="preserve">elección, sino una necesidad de supervivencia. Salir del país implicaba salvar la vida, pero también aceptar una ruptura que afectaba de manera profunda a la identidad. </w:t>
      </w:r>
      <w:r>
        <w:footnoteReference w:id="7"/>
      </w:r>
    </w:p>
    <w:p w14:paraId="52CD41BD" w14:textId="77777777" w:rsidR="001B1890" w:rsidRDefault="00A56FF7">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r>
        <w:rPr>
          <w:rStyle w:val="Refdenotaalpie"/>
        </w:rPr>
        <w:footnoteReference w:id="35"/>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 </w:t>
      </w:r>
      <w:r>
        <w:footnoteReference w:id="8"/>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r>
        <w:rPr>
          <w:rStyle w:val="Refdenotaalpie"/>
        </w:rPr>
        <w:footnoteReference w:id="36"/>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w:t>
      </w:r>
      <w:r>
        <w:lastRenderedPageBreak/>
        <w:t xml:space="preserve">circulación internacional de sus producciones, mirando de forma preferente hacia España.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w:t>
      </w:r>
      <w:r w:rsidR="00EC5F50">
        <w:t>des</w:t>
      </w:r>
      <w:r>
        <w:t xml:space="preserve">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r w:rsidR="005A4A08">
        <w:t>.</w:t>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11"/>
      </w:r>
    </w:p>
    <w:p w14:paraId="7FE91D8B" w14:textId="77777777" w:rsidR="001B1890" w:rsidRDefault="00A56FF7">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191ED4ED" w14:textId="71F52CAC" w:rsidR="00FB16E5" w:rsidRDefault="00902F57" w:rsidP="00FB16E5">
      <w:pPr>
        <w:spacing w:after="160" w:line="360" w:lineRule="auto"/>
        <w:ind w:firstLine="720"/>
        <w:jc w:val="both"/>
      </w:pPr>
      <w:r>
        <w:t xml:space="preserve">Como afirma Sarlo, el pasado es siempre </w:t>
      </w:r>
      <w:r w:rsidR="00E05854">
        <w:t>conflicto</w:t>
      </w:r>
      <w:r w:rsidR="00FB16E5">
        <w:t xml:space="preserve">, un pasado que genera competencia entre la memoria y la historia, la historia duda de la memoria y esta </w:t>
      </w:r>
      <w:r w:rsidR="00E05854">
        <w:t>última</w:t>
      </w:r>
      <w:r w:rsidR="00FB16E5">
        <w:t xml:space="preserve"> desconfía de la historia. Ante esta disyuntiva el pasado se hace presente a través del recuerdo, el tiempo del recuerdo es presente.</w:t>
      </w:r>
      <w:r w:rsidR="006A0DFC">
        <w:t xml:space="preserve"> De modo que la memoria es un campo de conflictos en la postdictadura donde se </w:t>
      </w:r>
      <w:r w:rsidR="00E05854">
        <w:t>entrevén</w:t>
      </w:r>
      <w:r w:rsidR="006A0DFC">
        <w:t xml:space="preserve"> dos bandos, aquellos que preservan el recuerdo de los crímenes cometidos y aquellos que han tomado la decisión de pasar página</w:t>
      </w:r>
      <w:r w:rsidR="00927331">
        <w:t>s</w:t>
      </w:r>
      <w:r>
        <w:rPr>
          <w:rStyle w:val="Refdenotaalpie"/>
        </w:rPr>
        <w:footnoteReference w:id="37"/>
      </w:r>
    </w:p>
    <w:p w14:paraId="66A48F02" w14:textId="5747C594" w:rsidR="00927331" w:rsidRDefault="00927331" w:rsidP="00927331">
      <w:pPr>
        <w:spacing w:after="160" w:line="360" w:lineRule="auto"/>
        <w:ind w:firstLine="720"/>
        <w:jc w:val="both"/>
      </w:pPr>
      <w:r>
        <w:t xml:space="preserve">Se pueden aprecia dos caminos diferenciados a la hora de emprender la labor de contar el pasado de la dictadura, uno es la forma mas objetiva que se remite al análisis de datos y documentos, es decir, recurre al punto de vista de un historiador. Por otra parte, </w:t>
      </w:r>
      <w:proofErr w:type="spellStart"/>
      <w:r>
        <w:t>esta</w:t>
      </w:r>
      <w:proofErr w:type="spellEnd"/>
      <w:r>
        <w:t xml:space="preserve"> la forma </w:t>
      </w:r>
      <w:r w:rsidR="00E05854">
        <w:t>más</w:t>
      </w:r>
      <w:r>
        <w:t xml:space="preserve"> subjetiva, es </w:t>
      </w:r>
      <w:r w:rsidR="00E05854">
        <w:t xml:space="preserve">decir, </w:t>
      </w:r>
      <w:r w:rsidR="00E05854" w:rsidRPr="00927331">
        <w:t>relatar</w:t>
      </w:r>
      <w:r>
        <w:t xml:space="preserve"> el pasado desde la experiencia del “yo” cuyo valor se sujeta en el hecho de que el relator lo vivió, </w:t>
      </w:r>
      <w:r>
        <w:rPr>
          <w:rStyle w:val="Refdenotaalpie"/>
        </w:rPr>
        <w:footnoteReference w:id="38"/>
      </w:r>
    </w:p>
    <w:p w14:paraId="536DE79E" w14:textId="25D72E89" w:rsidR="001C5A9D" w:rsidRDefault="006A0DFC" w:rsidP="001C5A9D">
      <w:pPr>
        <w:spacing w:after="160" w:line="360" w:lineRule="auto"/>
        <w:ind w:firstLine="720"/>
        <w:jc w:val="both"/>
      </w:pPr>
      <w:r>
        <w:t xml:space="preserve">Sarlo sostiene que </w:t>
      </w:r>
      <w:r w:rsidR="00927331">
        <w:t>en los años sesenta y ochenta tiene lugar un giro subjetivo que convierte a la forma más subjetiva de relatar el pasado</w:t>
      </w:r>
      <w:r w:rsidR="001C5A9D">
        <w:t xml:space="preserve"> en dominante, la sociedad le otorga un mayor peso al relato construido a partir de la experiencia personal (víctimas). El nudo problemático de este </w:t>
      </w:r>
      <w:proofErr w:type="spellStart"/>
      <w:r w:rsidR="001C5A9D">
        <w:t>panteamiento</w:t>
      </w:r>
      <w:proofErr w:type="spellEnd"/>
      <w:r w:rsidR="001C5A9D">
        <w:t xml:space="preserve"> reside en que a pesar de que el testimonio es fundamental rescatando aquellos acontecimientos suprimidos por la violencia, se incurre en el riesgo de que ese testimonio prevalezca como verdad incuestionable, es decir, se convierta en una certeza, entorpeciendo la mirada </w:t>
      </w:r>
      <w:r w:rsidR="007D47F7">
        <w:t>crítica</w:t>
      </w:r>
      <w:r w:rsidR="001C5A9D">
        <w:t xml:space="preserve"> hacia el pasado.</w:t>
      </w:r>
      <w:r>
        <w:rPr>
          <w:rStyle w:val="Refdenotaalpie"/>
        </w:rPr>
        <w:footnoteReference w:id="39"/>
      </w:r>
    </w:p>
    <w:p w14:paraId="687C9B01" w14:textId="5BCA09D0" w:rsidR="007D47F7" w:rsidRDefault="007D47F7" w:rsidP="001C5A9D">
      <w:pPr>
        <w:spacing w:after="160" w:line="360" w:lineRule="auto"/>
        <w:ind w:firstLine="720"/>
        <w:jc w:val="both"/>
      </w:pPr>
      <w:r>
        <w:t>En esta misma línea de análisis resulta conveniente considerar</w:t>
      </w:r>
      <w:r w:rsidR="00E05854">
        <w:t xml:space="preserve"> que algunos estudiosos distinguen</w:t>
      </w:r>
      <w:r>
        <w:t xml:space="preserve"> dos tipos de memoria, la memoria y la </w:t>
      </w:r>
      <w:proofErr w:type="spellStart"/>
      <w:r>
        <w:t>posmemoria</w:t>
      </w:r>
      <w:proofErr w:type="spellEnd"/>
      <w:r>
        <w:t xml:space="preserve">, mientras que la memoria remite a quien tienen vivencias de los hechos acontecidos, es decir, recuerdan en sus propias carnes la violencia, la </w:t>
      </w:r>
      <w:proofErr w:type="spellStart"/>
      <w:r>
        <w:t>posmemoria</w:t>
      </w:r>
      <w:proofErr w:type="spellEnd"/>
      <w:r>
        <w:t xml:space="preserve"> la componen aquellos hijos de la generación testigo, estos hijos no vivieron los acontecimientos en primera persona sino que heredaron el pasado a través de los relatos y los documentos, reconstruyendo así una memoria de algo que no vivieron directamente</w:t>
      </w:r>
      <w:r w:rsidR="00E05854">
        <w:t xml:space="preserve">. Esta división de la memoria es rechazada por Sarlo que afirma que no hay </w:t>
      </w:r>
      <w:proofErr w:type="spellStart"/>
      <w:r w:rsidR="00E05854">
        <w:t>posmemoria</w:t>
      </w:r>
      <w:proofErr w:type="spellEnd"/>
      <w:r w:rsidR="00E05854">
        <w:t xml:space="preserve"> sino formas de memoria, dicho en otros términos esto sugiere que </w:t>
      </w:r>
      <w:r w:rsidR="00E05854">
        <w:lastRenderedPageBreak/>
        <w:t>no todos los hijos recuerdan igual, ya que ese recuerdo está sujeto a factores como su origen social o si la familia les transmitió la historia.</w:t>
      </w:r>
      <w:r>
        <w:rPr>
          <w:rStyle w:val="Refdenotaalpie"/>
        </w:rPr>
        <w:footnoteReference w:id="40"/>
      </w:r>
    </w:p>
    <w:p w14:paraId="242FD23F" w14:textId="77777777" w:rsidR="001B1890" w:rsidRDefault="00A56FF7" w:rsidP="00495AAD">
      <w:r>
        <w:t>3.2. Caso de estudio: La historia oficial (Luis Puenzo, 1985)</w:t>
      </w:r>
    </w:p>
    <w:p w14:paraId="59A1801F" w14:textId="77777777" w:rsidR="001B1890" w:rsidRDefault="00A56FF7">
      <w:pPr>
        <w:pStyle w:val="Ttulo3"/>
      </w:pPr>
      <w:r>
        <w:t>Contexto y argumento</w:t>
      </w:r>
    </w:p>
    <w:p w14:paraId="23BCF8CF" w14:textId="5B6FD8D7" w:rsidR="001B1890" w:rsidRDefault="00A56FF7">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16"/>
      </w:r>
    </w:p>
    <w:p w14:paraId="158E3614" w14:textId="77777777" w:rsidR="001B1890" w:rsidRDefault="00A56FF7">
      <w:pPr>
        <w:pStyle w:val="Ttulo3"/>
      </w:pPr>
      <w:r>
        <w:t>Recepción y relevancia internacional</w:t>
      </w:r>
    </w:p>
    <w:p w14:paraId="6962FBF6" w14:textId="77777777" w:rsidR="00CF36DF" w:rsidRDefault="00A56FF7" w:rsidP="00CF36DF">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w:t>
      </w:r>
      <w:proofErr w:type="spellStart"/>
      <w:r>
        <w:t>Puenzo</w:t>
      </w:r>
      <w:proofErr w:type="spellEnd"/>
      <w:r>
        <w:t xml:space="preserve"> </w:t>
      </w:r>
      <w:r>
        <w:lastRenderedPageBreak/>
        <w:t xml:space="preserve">puede acercarse a la llamada «teoría de los dos demonios», al diluir en ocasiones la responsabilidad específica del Estado terrorista y de la complicidad civil. </w:t>
      </w:r>
      <w:r>
        <w:footnoteReference w:id="17"/>
      </w:r>
    </w:p>
    <w:p w14:paraId="77314FF2" w14:textId="77777777" w:rsidR="00CF36DF" w:rsidRDefault="00CF36DF" w:rsidP="00CF36DF">
      <w:pPr>
        <w:spacing w:after="160" w:line="360" w:lineRule="auto"/>
        <w:jc w:val="both"/>
      </w:pPr>
    </w:p>
    <w:p w14:paraId="545BF559" w14:textId="5192C864" w:rsidR="00CF36DF" w:rsidRDefault="00CF36DF" w:rsidP="00CF36DF">
      <w:pPr>
        <w:pStyle w:val="Ttulo1"/>
      </w:pPr>
      <w:r>
        <w:t>4</w:t>
      </w:r>
      <w:r>
        <w:t xml:space="preserve">. EL </w:t>
      </w:r>
      <w:r>
        <w:t>EXILIO, UN VÍNCULO ENTRE PAISES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18"/>
      </w:r>
      <w:r>
        <w:t xml:space="preserve"> </w:t>
      </w:r>
      <w:r>
        <w:footnoteReference w:id="19"/>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w:t>
      </w:r>
      <w:r w:rsidR="00832E0B">
        <w:lastRenderedPageBreak/>
        <w:t xml:space="preserve">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en la que 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r>
        <w:rPr>
          <w:rStyle w:val="Refdenotaalpie"/>
        </w:rPr>
        <w:footnoteReference w:id="41"/>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A56FF7">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w:t>
      </w:r>
      <w:r>
        <w:lastRenderedPageBreak/>
        <w:t xml:space="preserve">del socio más fuerte. Aun así, el prestigio autoral del cine argentino y la calidad de sus intérpretes actuaron como un contrapeso fundamental. </w:t>
      </w:r>
      <w:r>
        <w:footnoteReference w:id="21"/>
      </w:r>
    </w:p>
    <w:p w14:paraId="485AE547" w14:textId="77777777" w:rsidR="001B1890" w:rsidRDefault="00A56FF7">
      <w:pPr>
        <w:spacing w:after="160" w:line="360" w:lineRule="auto"/>
        <w:ind w:firstLine="720"/>
        <w:jc w:val="both"/>
      </w:pPr>
      <w:r>
        <w:t>Esa tensión entre colaboración y dependencia es precisamente uno de los rasgos más interesantes del modelo: las coproducciones abren puertas, pero también obligan a negociar qué imagen de Argentina puede circular en el mercado español. Por eso deben entenderse 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r>
        <w:rPr>
          <w:rStyle w:val="Refdenotaalpie"/>
        </w:rPr>
        <w:footnoteReference w:id="42"/>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r>
        <w:rPr>
          <w:rStyle w:val="Refdenotaalpie"/>
        </w:rPr>
        <w:footnoteReference w:id="43"/>
      </w:r>
    </w:p>
    <w:p w14:paraId="00E4443F" w14:textId="77777777" w:rsidR="001C7639" w:rsidRDefault="00BB5F80" w:rsidP="00092F7E">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Pr>
          <w:rStyle w:val="Refdenotaalpie"/>
        </w:rPr>
        <w:footnoteReference w:id="44"/>
      </w:r>
      <w:r w:rsidR="002B1F15">
        <w:t>Haciéndose</w:t>
      </w:r>
      <w:r w:rsidR="00DE5BD5">
        <w:t xml:space="preserve"> eco </w:t>
      </w:r>
      <w:r w:rsidR="00DE5BD5">
        <w:lastRenderedPageBreak/>
        <w:t>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r w:rsidR="00092F7E">
        <w:t>, este factor que figura en</w:t>
      </w:r>
      <w:r w:rsidR="005A4A08">
        <w:t xml:space="preserve"> el BOE n.º 238 del 4 de octubre de 1969</w:t>
      </w:r>
      <w:r w:rsidR="00092F7E">
        <w:t xml:space="preserve"> remite a el Convenio Hispano-Argentino de Relaciones </w:t>
      </w:r>
      <w:proofErr w:type="spellStart"/>
      <w:r w:rsidR="00092F7E">
        <w:t>Cinematograficas</w:t>
      </w:r>
      <w:proofErr w:type="spellEnd"/>
      <w:r w:rsidR="00092F7E">
        <w:t xml:space="preserve">, por el que se acuerda que las películas en coproducción se consideran de origen nacional en los ambos países y se autoriza su explotación sin ningún tipo de límite, </w:t>
      </w:r>
      <w:r w:rsidR="001C7639">
        <w:t>entre las numerosas premisas que establece se acuerda que la participación de cada coproductor puede variar entre un 30% y un 70% y que el coste mínimo por largometraje tiene que ser de ocho millones de peseta o cuarenta millones de pesos nacionales.</w:t>
      </w:r>
      <w:r>
        <w:rPr>
          <w:rStyle w:val="Refdenotaalpie"/>
        </w:rPr>
        <w:footnoteReference w:id="45"/>
      </w:r>
    </w:p>
    <w:p w14:paraId="621DC7B8" w14:textId="499E71C4" w:rsidR="0055126C" w:rsidRDefault="001C7639" w:rsidP="001C7639">
      <w:pPr>
        <w:spacing w:after="160" w:line="360" w:lineRule="auto"/>
        <w:ind w:firstLine="720"/>
        <w:jc w:val="both"/>
      </w:pPr>
      <w:r>
        <w:t>España se consolida como el principal socio de Argentina con el convenio de 1969 siendo el segundo convenio mas antiguo firmado por España, convirtiéndose en el principal destino</w:t>
      </w:r>
      <w:r>
        <w:tab/>
        <w:t xml:space="preserve"> del cine argentino, hecho que queda constatado por los datos</w:t>
      </w:r>
      <w:r w:rsidR="009774F1">
        <w:t xml:space="preserve"> cuantitativos que sustentan que de 1256 </w:t>
      </w:r>
      <w:r w:rsidR="008D6E4D">
        <w:t>películas</w:t>
      </w:r>
      <w:r w:rsidR="009774F1">
        <w:t xml:space="preserve"> latinoamericanas estrenadas en España entre los años 1933 y 1995, el 22% fueron argentinas dato únicamente superado por Mexico con 66,7%, a mayor abundamiento, solamente 53 </w:t>
      </w:r>
      <w:r w:rsidR="008D6E4D">
        <w:t>películas</w:t>
      </w:r>
      <w:r w:rsidR="009774F1">
        <w:t xml:space="preserve"> latinoamericanas rebasaron los 500.000 espectadores entre 1965 y 1995,</w:t>
      </w:r>
      <w:r w:rsidR="008D6E4D">
        <w:t xml:space="preserve"> prueba fehaciente de ello es Un lugar en el mundo que superó la barrera de los 500.000 espectadores.</w:t>
      </w:r>
      <w:r>
        <w:rPr>
          <w:rStyle w:val="Refdenotaalpie"/>
        </w:rPr>
        <w:footnoteReference w:id="46"/>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4.3. Casos de estudio: Un lugar en el mundo y Martín (Hache)</w:t>
      </w:r>
    </w:p>
    <w:p w14:paraId="32968673" w14:textId="77777777" w:rsidR="001B1890" w:rsidRDefault="00A56FF7">
      <w:pPr>
        <w:pStyle w:val="Ttulo3"/>
      </w:pPr>
      <w:r>
        <w:t>Un lugar en el mundo (Adolfo Aristarain, Argentina/Uruguay/España, 1992)</w:t>
      </w:r>
    </w:p>
    <w:p w14:paraId="53B0BE4C" w14:textId="77777777" w:rsidR="001B1890" w:rsidRDefault="00A56FF7">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 xml:space="preserve">Visualmente, Aristarain construye un espacio que dialoga con el western clásico: el paisaje árido y abierto de San Luis no funciona como simple decorado, sino como una forma </w:t>
      </w:r>
      <w:r>
        <w:lastRenderedPageBreak/>
        <w:t>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654C695" w14:textId="77777777" w:rsidR="00560619" w:rsidRDefault="00560619">
      <w:pPr>
        <w:spacing w:after="160" w:line="360" w:lineRule="auto"/>
        <w:ind w:firstLine="720"/>
        <w:jc w:val="both"/>
      </w:pPr>
    </w:p>
    <w:p w14:paraId="6B9AE5DA" w14:textId="46EAEE38" w:rsidR="00560619" w:rsidRDefault="00560619">
      <w:pPr>
        <w:spacing w:after="160" w:line="360" w:lineRule="auto"/>
        <w:ind w:firstLine="720"/>
        <w:jc w:val="both"/>
      </w:pPr>
      <w:r>
        <w:t xml:space="preserve">Por otro lado, se puede apreciar la diferencia entre esta película y la de Martin (Hache) a la hora de construir el espacio a pesar de que las ambas sean de Aristarain, esta diferencia es perceptible en Un lugar en el mundo donde un tercio del largometraje lo protagonizan los desplazamientos de los personajes de una ubicación a otra. Cabe destacar que estos trayecto no actúan a modo de relleno sino que es el resultado de una establecida red de </w:t>
      </w:r>
      <w:r w:rsidR="005726FC">
        <w:t xml:space="preserve">idas y venidas </w:t>
      </w:r>
      <w:r>
        <w:t>entre los distintos lugares que articula una sensación de un mundo</w:t>
      </w:r>
      <w:r w:rsidR="005726FC">
        <w:t xml:space="preserve"> habitado con una profunda unidad, reforzando esa idea de tener un lugar en el mundo.</w:t>
      </w:r>
    </w:p>
    <w:p w14:paraId="4C83313A" w14:textId="010A97B7" w:rsidR="005726FC" w:rsidRDefault="005726FC">
      <w:pPr>
        <w:spacing w:after="160" w:line="360" w:lineRule="auto"/>
        <w:ind w:firstLine="720"/>
        <w:jc w:val="both"/>
      </w:pPr>
      <w:r>
        <w:t xml:space="preserve">Con esta película, Aristarain inaugura una veta intimista y personal que posteriormente con Martin (Hache) retomará. Ambas </w:t>
      </w:r>
      <w:proofErr w:type="spellStart"/>
      <w:r>
        <w:t>peliculas</w:t>
      </w:r>
      <w:proofErr w:type="spellEnd"/>
      <w:r>
        <w:t xml:space="preserve"> convergen en dos temas, el </w:t>
      </w:r>
      <w:r w:rsidR="007A38A4">
        <w:t xml:space="preserve">exilio y las cuestiones </w:t>
      </w:r>
      <w:proofErr w:type="gramStart"/>
      <w:r w:rsidR="007A38A4">
        <w:t>paterno-filiales</w:t>
      </w:r>
      <w:proofErr w:type="gramEnd"/>
    </w:p>
    <w:p w14:paraId="3810A75A" w14:textId="7B4B6143" w:rsidR="007A38A4" w:rsidRDefault="007A38A4">
      <w:pPr>
        <w:spacing w:after="160" w:line="360" w:lineRule="auto"/>
        <w:ind w:firstLine="720"/>
        <w:jc w:val="both"/>
      </w:pPr>
      <w:r>
        <w:t xml:space="preserve">Un segundo factor de divergencia gira de nuevo </w:t>
      </w:r>
      <w:proofErr w:type="spellStart"/>
      <w:r>
        <w:t>entonrno</w:t>
      </w:r>
      <w:proofErr w:type="spellEnd"/>
      <w:r>
        <w:t xml:space="preserve"> al espacio, mientras que en Un lugar en el mundo el espacio</w:t>
      </w:r>
      <w:r w:rsidR="00E15D5B">
        <w:t xml:space="preserve"> es un unitario reflejando que todavía existe un lugar que donde vivir y que hay que defender, en Martin (Hache) el espacio se ve fragmentado al igual que la identidad, esto se manifiesta</w:t>
      </w:r>
      <w:r w:rsidR="005A6DAB">
        <w:t xml:space="preserve"> ya desde el comienzo cuando la madre de Hache le dice a Martin que Hache no tiene habitación y sabe no tiene lugar en su casa.</w:t>
      </w:r>
    </w:p>
    <w:p w14:paraId="7F646BB0" w14:textId="77777777" w:rsidR="001B1890" w:rsidRDefault="00A56FF7">
      <w:pPr>
        <w:pStyle w:val="Ttulo3"/>
      </w:pPr>
      <w:r>
        <w:t>Martín (Hache) (Adolfo Aristarain, Argentina/España, 1997)</w:t>
      </w:r>
    </w:p>
    <w:p w14:paraId="4A843F4A" w14:textId="77777777" w:rsidR="001B1890" w:rsidRDefault="00A56FF7">
      <w:pPr>
        <w:spacing w:after="160" w:line="360" w:lineRule="auto"/>
        <w:ind w:firstLine="720"/>
        <w:jc w:val="both"/>
      </w:pPr>
      <w:r>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w:t>
      </w:r>
      <w:r>
        <w:lastRenderedPageBreak/>
        <w:t xml:space="preserve">una reflexión sobre la identidad herida: personajes incapaces de pertenecer plenamente ni al país que dejaron ni al país que los acoge. </w:t>
      </w:r>
      <w:r>
        <w:footnoteReference w:id="22"/>
      </w:r>
    </w:p>
    <w:p w14:paraId="4E7CD991" w14:textId="7B4F777C" w:rsidR="001B1890" w:rsidRDefault="00A56FF7">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w:t>
      </w:r>
      <w:r w:rsidR="005A6DAB">
        <w:t xml:space="preserve"> Asimismo podemos establecer diferencias con las dos </w:t>
      </w:r>
      <w:proofErr w:type="spellStart"/>
      <w:r w:rsidR="005A6DAB">
        <w:t>peliculas</w:t>
      </w:r>
      <w:proofErr w:type="spellEnd"/>
      <w:r w:rsidR="005A6DAB">
        <w:t xml:space="preserve"> anteriormente tratadas, principalmente destaca la omisión de la mención de la dictadura, es decir, no hay ninguna referencia directa a la violencia de la dictadura, únicamente se puede percibir ciertas alusiones que permiten deducir que Martin en los años setenta se exilió a causa de su ideología política marxista. De este modo la memoria se encuentra latente a través del silencio y la omisión.</w:t>
      </w:r>
      <w:r>
        <w:rPr>
          <w:rStyle w:val="Refdenotaalpie"/>
        </w:rPr>
        <w:footnoteReference w:id="47"/>
      </w:r>
    </w:p>
    <w:p w14:paraId="6A577FB8" w14:textId="69A6C49F" w:rsidR="005A6DAB" w:rsidRDefault="005A6DAB">
      <w:pPr>
        <w:spacing w:after="160" w:line="360" w:lineRule="auto"/>
        <w:ind w:firstLine="720"/>
        <w:jc w:val="both"/>
      </w:pPr>
      <w:r>
        <w:t xml:space="preserve">A diferencia de ese gran protagonismo de los trayectos en Un lugar en el mundo, en Martin (Hache) se hace uso de la elipsis </w:t>
      </w:r>
      <w:r w:rsidR="005904C1">
        <w:t>omitiendo los desplazamientos. Destacan también la escasez de planos e imágenes del exterior de modo que Madrid y Buenos Aires quedan reflejados como una unidad</w:t>
      </w:r>
      <w:r w:rsidR="006150F9">
        <w:t>.</w:t>
      </w:r>
    </w:p>
    <w:p w14:paraId="3CE1A7E7" w14:textId="659FE395" w:rsidR="006150F9" w:rsidRDefault="006150F9">
      <w:pPr>
        <w:spacing w:after="160" w:line="360" w:lineRule="auto"/>
        <w:ind w:firstLine="720"/>
        <w:jc w:val="both"/>
      </w:pPr>
      <w:r>
        <w:t>La película presenta la nostalgia como algo que escapa a la compresión, esto queda constatado en el final donde vemos una secuencia del video que graba Hache donde en el fondo se puede visua</w:t>
      </w:r>
      <w:r w:rsidR="008B0844">
        <w:t>lizar un cartel de Nueva York mirando al mar donde figura escrito “Pacifico” convirtiendo lo imposible en posible (No se puede observar el Pacifico desde Nueva York), por lo que se crea un espacio imaginario inventando nuevos horizontes, similar al espacio imaginario y incomprensible que Hache tiene en la cabeza cuando remite a su nostalgia, nostalgia que le incita a volver a un lugar del que no sabe porque es su lugar.</w:t>
      </w:r>
      <w:r>
        <w:rPr>
          <w:rStyle w:val="Refdenotaalpie"/>
        </w:rPr>
        <w:footnoteReference w:id="48"/>
      </w:r>
    </w:p>
    <w:p w14:paraId="7D7A7668" w14:textId="05F5602D" w:rsidR="007E458C" w:rsidRDefault="005A0C5E" w:rsidP="007E458C">
      <w:pPr>
        <w:spacing w:after="160" w:line="360" w:lineRule="auto"/>
        <w:ind w:firstLine="720"/>
        <w:jc w:val="both"/>
      </w:pPr>
      <w:r>
        <w:t>Desde la perspectiva semántica, el titulo de la obra articula perfectamente la idea de ese momento de tiempo paralizado,</w:t>
      </w:r>
      <w:r w:rsidR="007E458C">
        <w:t xml:space="preserve"> el concepto de vida entre paréntesis, esperando a regresar nuevamente a un tiempo corriente.</w:t>
      </w:r>
      <w:r>
        <w:t xml:space="preserve"> </w:t>
      </w:r>
      <w:r w:rsidR="007E458C">
        <w:t>S</w:t>
      </w:r>
      <w:r>
        <w:t>e refleja el nombre de Hac</w:t>
      </w:r>
      <w:r w:rsidR="007E458C">
        <w:t xml:space="preserve">he entre paréntesis que indexado a la H como letra muda que no se pronuncia concluye con que Hache </w:t>
      </w:r>
      <w:r w:rsidR="007E458C">
        <w:lastRenderedPageBreak/>
        <w:t>despojado de tener un nombre propio que suene. En la secuencia resolutiva, Martin sentado junto a Dante le regresa el nombre a su hijo brindando “Por Martin”</w:t>
      </w:r>
      <w:r w:rsidR="008335E7">
        <w:t>, se le ha devuelto el nombre y su tiempo ha vuelto a correr.</w:t>
      </w:r>
      <w:r>
        <w:rPr>
          <w:rStyle w:val="Refdenotaalpie"/>
        </w:rPr>
        <w:footnoteReference w:id="49"/>
      </w:r>
    </w:p>
    <w:p w14:paraId="1BCCB6B5" w14:textId="7716B2F8" w:rsidR="008335E7" w:rsidRDefault="008335E7" w:rsidP="007E458C">
      <w:pPr>
        <w:spacing w:after="160" w:line="360" w:lineRule="auto"/>
        <w:ind w:firstLine="720"/>
        <w:jc w:val="both"/>
      </w:pPr>
      <w:r>
        <w:t>Este largometraje establece un puente transatlántico a través del desarraigo, de modo que no se limita a ser una película argentina filmada en España sino que pone un manifiesto un tema común entre ambos países cuya gente sufrió las marcas del exilio y algo que paralelamente es un tema universal, la búsqueda de “un lugar en el mundo”</w:t>
      </w:r>
    </w:p>
    <w:p w14:paraId="53388437" w14:textId="77777777" w:rsidR="007E458C" w:rsidRDefault="007E458C" w:rsidP="007E458C">
      <w:pPr>
        <w:spacing w:after="160" w:line="360" w:lineRule="auto"/>
        <w:ind w:firstLine="720"/>
        <w:jc w:val="both"/>
      </w:pPr>
    </w:p>
    <w:p w14:paraId="3A7BBD7B" w14:textId="77777777" w:rsidR="005904C1" w:rsidRDefault="005904C1">
      <w:pPr>
        <w:spacing w:after="160" w:line="360" w:lineRule="auto"/>
        <w:ind w:firstLine="720"/>
        <w:jc w:val="both"/>
      </w:pPr>
    </w:p>
    <w:p w14:paraId="26B367CB" w14:textId="77777777" w:rsidR="001B1890" w:rsidRDefault="00A56FF7">
      <w:pPr>
        <w:pStyle w:val="Ttulo2"/>
      </w:pPr>
      <w:r>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A56FF7">
      <w:pPr>
        <w:pStyle w:val="Ttulo3"/>
      </w:pPr>
      <w:r>
        <w:lastRenderedPageBreak/>
        <w:t>4.4.2. Premios Goya</w:t>
      </w:r>
    </w:p>
    <w:p w14:paraId="2D79915C" w14:textId="77777777" w:rsidR="001B1890" w:rsidRDefault="00A56FF7">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76AEE56" w14:textId="4DC783E9" w:rsidR="00CF36DF" w:rsidRDefault="00CF36DF">
      <w:pPr>
        <w:spacing w:after="160" w:line="360" w:lineRule="auto"/>
        <w:ind w:firstLine="720"/>
        <w:jc w:val="both"/>
      </w:pPr>
      <w:r>
        <w:t>Al realizar una lectura comparada entre los 3 casos de estudio</w:t>
      </w:r>
      <w:r w:rsidR="00563646">
        <w:t xml:space="preserve">, se ha observado que en las tres </w:t>
      </w:r>
      <w:proofErr w:type="spellStart"/>
      <w:r w:rsidR="00563646">
        <w:t>peliculas</w:t>
      </w:r>
      <w:proofErr w:type="spellEnd"/>
      <w:r w:rsidR="00563646">
        <w:t xml:space="preserve"> convergen en el uso del espacio como herramienta de que otorga sentido. En la historia oficial, el interior de una familia de clase acomodada permanece clausurado </w:t>
      </w:r>
      <w:proofErr w:type="spellStart"/>
      <w:r w:rsidR="00563646">
        <w:t>frentre</w:t>
      </w:r>
      <w:proofErr w:type="spellEnd"/>
      <w:r w:rsidR="00563646">
        <w:t xml:space="preserve"> a las verdades del exterior, es decir, el espacio se articula como una ceguera en si mismo. En Un lugar en el mundo el espacio une los diferentes lugares manifestando la posibilidad de encontrar un lugar. Por </w:t>
      </w:r>
      <w:r w:rsidR="005C5C36">
        <w:t>último</w:t>
      </w:r>
      <w:r w:rsidR="00563646">
        <w:t>, en Martin (Hache) el espacio queda fragmentado y vinculado a la idea de nostalgia sin ninguna referencia visual sinónimo de identidad fragmentada y desarraigo.</w:t>
      </w:r>
    </w:p>
    <w:p w14:paraId="5451E002" w14:textId="62755780" w:rsidR="005C5C36" w:rsidRDefault="005C5C36">
      <w:pPr>
        <w:spacing w:after="160" w:line="360" w:lineRule="auto"/>
        <w:ind w:firstLine="720"/>
        <w:jc w:val="both"/>
      </w:pPr>
      <w:r>
        <w:t>En lo que respecta a la memoria en el cine argentino trasladado a España, se colige que la memoria a largo del periodo estudiado tuvo dos modos de abordarse, mientras que en los años ochenta se abogó por un realismo afectivo, intencionalidad didáctica y el espacio familiar como analogía de lo que ocurre en la sociedad, en los años noventa se abogó mas por la ambigüedad, el uso de la fragmentación y distanciamiento.</w:t>
      </w:r>
    </w:p>
    <w:p w14:paraId="11D3E249" w14:textId="386EC187" w:rsidR="005C5C36" w:rsidRDefault="005C5C36">
      <w:pPr>
        <w:spacing w:after="160" w:line="360" w:lineRule="auto"/>
        <w:ind w:firstLine="720"/>
        <w:jc w:val="both"/>
      </w:pPr>
      <w:r>
        <w:t xml:space="preserve">Continuando con los </w:t>
      </w:r>
      <w:r w:rsidR="00816AC5">
        <w:t xml:space="preserve">resultados, el estudio ha constatado que el papel del exiliado como mediador y arquitecto de vías y puentes entre los países, fuentes como la de </w:t>
      </w:r>
      <w:proofErr w:type="spellStart"/>
      <w:r w:rsidR="00816AC5">
        <w:t>Rodriguez</w:t>
      </w:r>
      <w:proofErr w:type="spellEnd"/>
      <w:r w:rsidR="00816AC5">
        <w:t xml:space="preserve"> Marino, la de vallejo o </w:t>
      </w:r>
      <w:proofErr w:type="spellStart"/>
      <w:r w:rsidR="00816AC5">
        <w:t>peliculas</w:t>
      </w:r>
      <w:proofErr w:type="spellEnd"/>
      <w:r w:rsidR="00816AC5">
        <w:t xml:space="preserve"> como Reflexiones de un salvaje han permitido corroborar que se rodaron </w:t>
      </w:r>
      <w:proofErr w:type="spellStart"/>
      <w:r w:rsidR="00816AC5">
        <w:t>peliculas</w:t>
      </w:r>
      <w:proofErr w:type="spellEnd"/>
      <w:r w:rsidR="00816AC5">
        <w:t xml:space="preserve"> cuyo tema español sirvió como referencia y alusión a los crímenes del estado argentino.</w:t>
      </w:r>
    </w:p>
    <w:p w14:paraId="734F893E" w14:textId="77777777" w:rsidR="00816AC5" w:rsidRDefault="00816AC5">
      <w:pPr>
        <w:spacing w:after="160" w:line="360" w:lineRule="auto"/>
        <w:ind w:firstLine="720"/>
        <w:jc w:val="both"/>
      </w:pPr>
    </w:p>
    <w:p w14:paraId="3BD9E234" w14:textId="77777777" w:rsidR="00816AC5" w:rsidRDefault="00816AC5">
      <w:pPr>
        <w:spacing w:after="160" w:line="360" w:lineRule="auto"/>
        <w:ind w:firstLine="720"/>
        <w:jc w:val="both"/>
      </w:pPr>
    </w:p>
    <w:p w14:paraId="7B73CC04" w14:textId="78EA58F7" w:rsidR="00816AC5" w:rsidRDefault="00816AC5">
      <w:pPr>
        <w:spacing w:after="160" w:line="360" w:lineRule="auto"/>
        <w:ind w:firstLine="720"/>
        <w:jc w:val="both"/>
      </w:pPr>
      <w:r>
        <w:lastRenderedPageBreak/>
        <w:t xml:space="preserve">El estudio </w:t>
      </w:r>
      <w:proofErr w:type="spellStart"/>
      <w:r>
        <w:t>a</w:t>
      </w:r>
      <w:proofErr w:type="spellEnd"/>
      <w:r>
        <w:t xml:space="preserve"> posibilitado apreciar la dimensión del éxito del cine argentino en España, salvaguardando ciertos matices entre los que destaca mencionar que el prestigio crítico y el éxito del público distan de actuar bajo una misma concepción, de modo que la visibilidad del cine </w:t>
      </w:r>
      <w:r w:rsidR="00C2772D">
        <w:t xml:space="preserve">argentino apoyó una parte considerable de su peso en su </w:t>
      </w:r>
      <w:proofErr w:type="spellStart"/>
      <w:r w:rsidR="00C2772D">
        <w:t>via</w:t>
      </w:r>
      <w:proofErr w:type="spellEnd"/>
      <w:r w:rsidR="00C2772D">
        <w:t xml:space="preserve"> crítica e institucional mas que en la del </w:t>
      </w:r>
      <w:proofErr w:type="spellStart"/>
      <w:r w:rsidR="00C2772D">
        <w:t>publico</w:t>
      </w:r>
      <w:proofErr w:type="spellEnd"/>
      <w:r w:rsidR="00C2772D">
        <w:t xml:space="preserve"> amplio y general, aunque Un lugar en el mundo de Aristarain superó los 500.000 visualizaciones en las pantallas, el resto de producciones circularon principalmente en salas especializadas y V.O.</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683D4F2D" w14:textId="2486F3F1" w:rsidR="001B1890" w:rsidRDefault="00A56FF7" w:rsidP="00CF36DF">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un mapa de intercambios donde las imágenes cruzaron el Atlántico cargadas de memoria, pero también de nuevas posibilidades estéticas e industriales.</w:t>
      </w:r>
      <w:r>
        <w:br w:type="page"/>
      </w:r>
    </w:p>
    <w:p w14:paraId="131365F0" w14:textId="77777777" w:rsidR="001B1890" w:rsidRDefault="00A56FF7">
      <w:pPr>
        <w:pStyle w:val="Ttulo1"/>
      </w:pPr>
      <w:r>
        <w:lastRenderedPageBreak/>
        <w:t>6. REFERENCIAS BIBLIOGRÁFICAS Y DOCUMENTALES</w:t>
      </w:r>
    </w:p>
    <w:p w14:paraId="6A3A73F0" w14:textId="77777777" w:rsidR="001B1890" w:rsidRDefault="00A56FF7">
      <w:pPr>
        <w:spacing w:before="200" w:after="60"/>
      </w:pPr>
      <w:r>
        <w:rPr>
          <w:b/>
          <w:bCs/>
        </w:rPr>
        <w:t>I. Fuentes primarias</w:t>
      </w:r>
    </w:p>
    <w:p w14:paraId="5F7EB087" w14:textId="77777777" w:rsidR="001B1890" w:rsidRDefault="00A56FF7">
      <w:pPr>
        <w:spacing w:before="80" w:after="30"/>
      </w:pPr>
      <w:r>
        <w:rPr>
          <w:b/>
          <w:bCs/>
          <w:i/>
          <w:iCs/>
        </w:rPr>
        <w:t>A. Obras cinematográficas</w:t>
      </w:r>
    </w:p>
    <w:p w14:paraId="1A470BEE" w14:textId="77777777" w:rsidR="001B1890" w:rsidRDefault="00A56FF7">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A56FF7">
      <w:pPr>
        <w:spacing w:before="100" w:after="30"/>
      </w:pPr>
      <w:r>
        <w:rPr>
          <w:b/>
          <w:bCs/>
          <w:i/>
          <w:iCs/>
        </w:rPr>
        <w:t>B. Documentos normativos y legislativos</w:t>
      </w:r>
    </w:p>
    <w:p w14:paraId="53954E0A" w14:textId="77777777" w:rsidR="001B1890" w:rsidRDefault="00A56FF7">
      <w:pPr>
        <w:spacing w:after="140" w:line="340" w:lineRule="auto"/>
        <w:ind w:left="720" w:hanging="720"/>
        <w:jc w:val="both"/>
      </w:pPr>
      <w:r>
        <w:t>Convenio Hispano-Argentino de Relaciones Cinematográficas. Firmado en Buenos Aires, 28 de agosto de 1969. BOE n.º 238, 4 de octubre de 1969, 15550-15552.</w:t>
      </w:r>
    </w:p>
    <w:p w14:paraId="21DFC32E" w14:textId="77777777" w:rsidR="001B1890" w:rsidRDefault="00A56FF7">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both"/>
      </w:pPr>
      <w:r>
        <w:t>Convenio de Integración Cinematográfica Iberoamericana (CAACI). Caracas, 1989.</w:t>
      </w:r>
    </w:p>
    <w:p w14:paraId="259F7120" w14:textId="77777777" w:rsidR="001B1890" w:rsidRDefault="00A56FF7">
      <w:pPr>
        <w:spacing w:before="220" w:after="60"/>
      </w:pPr>
      <w:r>
        <w:rPr>
          <w:b/>
          <w:bCs/>
        </w:rPr>
        <w:t>II. Fuentes documentales</w:t>
      </w:r>
    </w:p>
    <w:p w14:paraId="70C3964A" w14:textId="77777777" w:rsidR="001B1890" w:rsidRDefault="00A56FF7">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A56FF7">
      <w:pPr>
        <w:spacing w:before="220" w:after="60"/>
      </w:pPr>
      <w:r>
        <w:rPr>
          <w:b/>
          <w:bCs/>
        </w:rPr>
        <w:t>III. Estudios generales sobre cine e historia del arte</w:t>
      </w:r>
    </w:p>
    <w:p w14:paraId="4171A36D" w14:textId="77777777" w:rsidR="001B1890" w:rsidRDefault="00A56FF7">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A56FF7">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A56FF7">
      <w:pPr>
        <w:spacing w:after="140" w:line="340" w:lineRule="auto"/>
        <w:ind w:left="720" w:hanging="720"/>
        <w:jc w:val="both"/>
      </w:pPr>
      <w:r>
        <w:t>Richard, Nelly. Fracturas de la memoria: arte y pensamiento crítico. Buenos Aires: Siglo XXI Editores, 2007.</w:t>
      </w:r>
    </w:p>
    <w:p w14:paraId="028A9A88" w14:textId="77777777" w:rsidR="001B1890" w:rsidRDefault="00A56FF7">
      <w:pPr>
        <w:spacing w:before="220" w:after="60"/>
      </w:pPr>
      <w:r>
        <w:rPr>
          <w:b/>
          <w:bCs/>
        </w:rPr>
        <w:t>IV. Estudios específicos</w:t>
      </w:r>
    </w:p>
    <w:p w14:paraId="1A5714E5" w14:textId="77777777" w:rsidR="001B1890" w:rsidRDefault="00A56FF7">
      <w:pPr>
        <w:spacing w:before="80" w:after="30"/>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A56FF7">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A56FF7">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A56FF7">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A56FF7">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A56FF7">
      <w:pPr>
        <w:spacing w:before="100" w:after="30"/>
      </w:pPr>
      <w:r>
        <w:rPr>
          <w:b/>
          <w:bCs/>
          <w:i/>
          <w:iCs/>
        </w:rPr>
        <w:t>B. Exilio político, memoria y cultura visual</w:t>
      </w:r>
    </w:p>
    <w:p w14:paraId="284908D8" w14:textId="77777777" w:rsidR="001B1890" w:rsidRDefault="00A56FF7">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A56FF7">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pPr>
        <w:spacing w:after="140" w:line="340" w:lineRule="auto"/>
        <w:ind w:left="720" w:hanging="720"/>
        <w:jc w:val="both"/>
      </w:pPr>
      <w:r>
        <w:rPr>
          <w:b/>
          <w:bCs/>
        </w:rPr>
        <w:t xml:space="preserve">López de la Torre, Carlos Fernando.</w:t>
      </w:r>
      <w:r>
        <w:t xml:space="preserve"> «La Alianza Anticomunista Argentina. Análisis de su trayectoria y articulaciones represivas». </w:t>
      </w:r>
      <w:r>
        <w:rPr>
          <w:i/>
          <w:iCs/>
        </w:rPr>
        <w:t xml:space="preserve">Estudios Sociales del Estado</w:t>
      </w:r>
      <w:r>
        <w:t xml:space="preserve"> 6, n.º 12 (2020): 155-193.</w:t>
      </w:r>
    </w:p>
    <w:p w14:paraId="33495D10" w14:textId="77777777" w:rsidR="001B1890" w:rsidRDefault="00A56FF7">
      <w:pPr>
        <w:spacing w:after="140" w:line="340" w:lineRule="auto"/>
        <w:ind w:left="720" w:hanging="720"/>
        <w:jc w:val="both"/>
      </w:pPr>
      <w:r>
        <w:t>Rodríguez Marino, Paula. Figuras del destierro. Narraciones del exilio en el cine argentino (1978–1988). Viedma: Universidad Nacional de Río Negro, 2013.</w:t>
      </w:r>
    </w:p>
    <w:p>
      <w:pPr>
        <w:spacing w:after="140" w:line="340" w:lineRule="auto"/>
        <w:ind w:left="720" w:hanging="720"/>
        <w:jc w:val="both"/>
      </w:pPr>
      <w:r>
        <w:rPr>
          <w:b/>
          <w:bCs/>
        </w:rPr>
        <w:t xml:space="preserve">Sarlo, Beatriz.</w:t>
      </w:r>
      <w:r>
        <w:rPr>
          <w:i/>
          <w:iCs/>
        </w:rPr>
        <w:t xml:space="preserve"> Tiempo pasado. Cultura de la memoria y giro subjetivo. Una discusión.</w:t>
      </w:r>
      <w:r>
        <w:t xml:space="preserve"> Buenos Aires: Siglo XXI Editores, 2005.</w:t>
      </w:r>
    </w:p>
    <w:p w14:paraId="20840F66" w14:textId="77777777" w:rsidR="001B1890" w:rsidRDefault="00A56FF7">
      <w:pPr>
        <w:spacing w:before="100" w:after="30"/>
      </w:pPr>
      <w:r>
        <w:rPr>
          <w:b/>
          <w:bCs/>
          <w:i/>
          <w:iCs/>
        </w:rPr>
        <w:t>C. Circulación transatlántica, coproducciones y recepción en España</w:t>
      </w:r>
    </w:p>
    <w:p w14:paraId="054F74B4" w14:textId="77777777" w:rsidR="001B1890" w:rsidRDefault="00A56FF7">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A56FF7">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A56FF7">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A56FF7">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A56FF7">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A56FF7">
      <w:pPr>
        <w:spacing w:before="220" w:after="60"/>
      </w:pPr>
      <w:r>
        <w:rPr>
          <w:b/>
          <w:bCs/>
        </w:rPr>
        <w:t>V. Tesis doctorales</w:t>
      </w:r>
    </w:p>
    <w:p w14:paraId="1418E769" w14:textId="77777777" w:rsidR="001B1890" w:rsidRDefault="00A56FF7">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594C" w14:textId="77777777" w:rsidR="005B4425" w:rsidRDefault="005B4425">
      <w:r>
        <w:separator/>
      </w:r>
    </w:p>
  </w:endnote>
  <w:endnote w:type="continuationSeparator" w:id="0">
    <w:p w14:paraId="4E4E8886" w14:textId="77777777" w:rsidR="005B4425" w:rsidRDefault="005B4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61DC" w14:textId="77777777" w:rsidR="005B4425" w:rsidRDefault="005B4425">
      <w:r>
        <w:separator/>
      </w:r>
    </w:p>
  </w:footnote>
  <w:footnote w:type="continuationSeparator" w:id="0">
    <w:p w14:paraId="256A61C0" w14:textId="77777777" w:rsidR="005B4425" w:rsidRDefault="005B4425">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A56FF7">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A56FF7">
      <w:pPr>
        <w:spacing w:after="60" w:line="280" w:lineRule="auto"/>
        <w:jc w:val="both"/>
      </w:pPr>
      <w:r>
        <w:rPr>
          <w:rStyle w:val="Refdenotaalpie"/>
        </w:rPr>
        <w:footnoteRef/>
      </w:r>
      <w:r>
        <w:rPr>
          <w:sz w:val="18"/>
          <w:szCs w:val="18"/>
        </w:rPr>
        <w:t xml:space="preserve"> Jensen, Los exiliados.</w:t>
      </w:r>
    </w:p>
  </w:footnote>
  <w:footnote w:id="8">
    <w:p w14:paraId="589FA484"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A56FF7">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A56FF7">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A56FF7">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A56FF7">
      <w:pPr>
        <w:spacing w:after="60" w:line="280" w:lineRule="auto"/>
        <w:jc w:val="both"/>
      </w:pPr>
      <w:r>
        <w:rPr>
          <w:rStyle w:val="Refdenotaalpie"/>
        </w:rPr>
        <w:footnoteRef/>
      </w:r>
      <w:r>
        <w:rPr>
          <w:sz w:val="18"/>
          <w:szCs w:val="18"/>
        </w:rPr>
        <w:t xml:space="preserve"> Rodríguez Marino, Figuras del destierro.</w:t>
      </w:r>
    </w:p>
  </w:footnote>
  <w:footnote w:id="20">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A56FF7">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A56FF7">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 w:id="27">
    <w:p>
      <w:pPr>
        <w:spacing w:after="60" w:line="280" w:lineRule="auto"/>
        <w:jc w:val="both"/>
      </w:pPr>
      <w:r>
        <w:rPr>
          <w:rStyle w:val="Refdenotaalpie"/>
        </w:rPr>
        <w:footnoteRef/>
      </w:r>
      <w:r>
        <w:rPr>
          <w:sz w:val="18"/>
          <w:szCs w:val="18"/>
        </w:rPr>
        <w:t xml:space="preserve"> Claudio España, dir., Cine argentino: industria y clasicismo, 1933-1956, vol. I (Buenos Aires: Fondo Nacional de las Artes, 2000).</w:t>
      </w:r>
    </w:p>
  </w:footnote>
  <w:footnote w:id="28">
    <w:p>
      <w:pPr>
        <w:spacing w:after="60" w:line="280" w:lineRule="auto"/>
        <w:jc w:val="both"/>
      </w:pPr>
      <w:r>
        <w:rPr>
          <w:rStyle w:val="Refdenotaalpie"/>
        </w:rPr>
        <w:footnoteRef/>
      </w:r>
      <w:r>
        <w:rPr>
          <w:sz w:val="18"/>
          <w:szCs w:val="18"/>
        </w:rPr>
        <w:t xml:space="preserve"> España, Cine argentino: industria y clasicismo, vol. I.</w:t>
      </w:r>
    </w:p>
  </w:footnote>
  <w:footnote w:id="29">
    <w:p>
      <w:pPr>
        <w:spacing w:after="60" w:line="280" w:lineRule="auto"/>
        <w:jc w:val="both"/>
      </w:pPr>
      <w:r>
        <w:rPr>
          <w:rStyle w:val="Refdenotaalpie"/>
        </w:rPr>
        <w:footnoteRef/>
      </w:r>
      <w:r>
        <w:rPr>
          <w:sz w:val="18"/>
          <w:szCs w:val="18"/>
        </w:rPr>
        <w:t xml:space="preserve"> Díaz López, «Las vías de la Hispanidad».</w:t>
      </w:r>
    </w:p>
  </w:footnote>
  <w:footnote w:id="30">
    <w:p>
      <w:pPr>
        <w:spacing w:after="60" w:line="280" w:lineRule="auto"/>
        <w:jc w:val="both"/>
      </w:pPr>
      <w:r>
        <w:rPr>
          <w:rStyle w:val="Refdenotaalpie"/>
        </w:rPr>
        <w:footnoteRef/>
      </w:r>
      <w:r>
        <w:rPr>
          <w:sz w:val="18"/>
          <w:szCs w:val="18"/>
        </w:rPr>
        <w:t xml:space="preserve"> Díaz López, «Las vías de la Hispanidad».</w:t>
      </w:r>
    </w:p>
  </w:footnote>
  <w:footnote w:id="31">
    <w:p>
      <w:pPr>
        <w:spacing w:after="60" w:line="280" w:lineRule="auto"/>
        <w:jc w:val="both"/>
      </w:pPr>
      <w:r>
        <w:rPr>
          <w:rStyle w:val="Refdenotaalpie"/>
        </w:rPr>
        <w:footnoteRef/>
      </w:r>
      <w:r>
        <w:rPr>
          <w:sz w:val="18"/>
          <w:szCs w:val="18"/>
        </w:rPr>
        <w:t xml:space="preserve"> Carlos Fernando López de la Torre, «La Alianza Anticomunista Argentina. Análisis de su trayectoria y articulaciones represivas», Estudios Sociales del Estado 6, n.º 12 (2020): 164-166.</w:t>
      </w:r>
    </w:p>
  </w:footnote>
  <w:footnote w:id="32">
    <w:p>
      <w:pPr>
        <w:spacing w:after="60" w:line="280" w:lineRule="auto"/>
        <w:jc w:val="both"/>
      </w:pPr>
      <w:r>
        <w:rPr>
          <w:rStyle w:val="Refdenotaalpie"/>
        </w:rPr>
        <w:footnoteRef/>
      </w:r>
      <w:r>
        <w:rPr>
          <w:sz w:val="18"/>
          <w:szCs w:val="18"/>
        </w:rPr>
        <w:t xml:space="preserve"> López de la Torre, «La Alianza Anticomunista Argentina», 175.</w:t>
      </w:r>
    </w:p>
  </w:footnote>
  <w:footnote w:id="33">
    <w:p>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 La autora registra entre quienes marcharon al exilio a figuras como Norman Briski, Nacha Guevara y Héctor Alterio.</w:t>
      </w:r>
    </w:p>
  </w:footnote>
  <w:footnote w:id="34">
    <w:p>
      <w:pPr>
        <w:spacing w:after="60" w:line="280" w:lineRule="auto"/>
        <w:jc w:val="both"/>
      </w:pPr>
      <w:r>
        <w:rPr>
          <w:rStyle w:val="Refdenotaalpie"/>
        </w:rPr>
        <w:footnoteRef/>
      </w:r>
      <w:r>
        <w:rPr>
          <w:sz w:val="18"/>
          <w:szCs w:val="18"/>
        </w:rPr>
        <w:t xml:space="preserve"> López de la Torre, «La Alianza Anticomunista Argentina», 176.</w:t>
      </w:r>
    </w:p>
  </w:footnote>
  <w:footnote w:id="35">
    <w:p>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 23. Estos filmes integran el corpus analizado por la autora.</w:t>
      </w:r>
    </w:p>
  </w:footnote>
  <w:footnote w:id="36">
    <w:p>
      <w:pPr>
        <w:spacing w:after="60" w:line="280" w:lineRule="auto"/>
        <w:jc w:val="both"/>
      </w:pPr>
      <w:r>
        <w:rPr>
          <w:rStyle w:val="Refdenotaalpie"/>
        </w:rPr>
        <w:footnoteRef/>
      </w:r>
      <w:r>
        <w:rPr>
          <w:sz w:val="18"/>
          <w:szCs w:val="18"/>
        </w:rPr>
        <w:t xml:space="preserve"> Jensen, Los exiliados. La autora estudia la integración de los exiliados argentinos en la vida cultural española y el papel de Madrid y Barcelona como centros de la diáspora.</w:t>
      </w:r>
    </w:p>
  </w:footnote>
  <w:footnote w:id="37">
    <w:p>
      <w:pPr>
        <w:spacing w:after="60" w:line="280" w:lineRule="auto"/>
        <w:jc w:val="both"/>
      </w:pPr>
      <w:r>
        <w:rPr>
          <w:rStyle w:val="Refdenotaalpie"/>
        </w:rPr>
        <w:footnoteRef/>
      </w:r>
      <w:r>
        <w:rPr>
          <w:sz w:val="18"/>
          <w:szCs w:val="18"/>
        </w:rPr>
        <w:t xml:space="preserve"> Beatriz Sarlo, Tiempo pasado. Cultura de la memoria y giro subjetivo. Una discusión (Buenos Aires: Siglo XXI Editores, 2005), 9.</w:t>
      </w:r>
    </w:p>
  </w:footnote>
  <w:footnote w:id="38">
    <w:p>
      <w:pPr>
        <w:spacing w:after="60" w:line="280" w:lineRule="auto"/>
        <w:jc w:val="both"/>
      </w:pPr>
      <w:r>
        <w:rPr>
          <w:rStyle w:val="Refdenotaalpie"/>
        </w:rPr>
        <w:footnoteRef/>
      </w:r>
      <w:r>
        <w:rPr>
          <w:sz w:val="18"/>
          <w:szCs w:val="18"/>
        </w:rPr>
        <w:t xml:space="preserve"> Sarlo, Tiempo pasado, 22-23.</w:t>
      </w:r>
    </w:p>
  </w:footnote>
  <w:footnote w:id="39">
    <w:p>
      <w:pPr>
        <w:spacing w:after="60" w:line="280" w:lineRule="auto"/>
        <w:jc w:val="both"/>
      </w:pPr>
      <w:r>
        <w:rPr>
          <w:rStyle w:val="Refdenotaalpie"/>
        </w:rPr>
        <w:footnoteRef/>
      </w:r>
      <w:r>
        <w:rPr>
          <w:sz w:val="18"/>
          <w:szCs w:val="18"/>
        </w:rPr>
        <w:t xml:space="preserve"> Sarlo, Tiempo pasado, 58-60.</w:t>
      </w:r>
    </w:p>
  </w:footnote>
  <w:footnote w:id="40">
    <w:p>
      <w:pPr>
        <w:spacing w:after="60" w:line="280" w:lineRule="auto"/>
        <w:jc w:val="both"/>
      </w:pPr>
      <w:r>
        <w:rPr>
          <w:rStyle w:val="Refdenotaalpie"/>
        </w:rPr>
        <w:footnoteRef/>
      </w:r>
      <w:r>
        <w:rPr>
          <w:sz w:val="18"/>
          <w:szCs w:val="18"/>
        </w:rPr>
        <w:t xml:space="preserve"> Sarlo, Tiempo pasado, 158.</w:t>
      </w:r>
    </w:p>
  </w:footnote>
  <w:footnote w:id="41">
    <w:p>
      <w:pPr>
        <w:spacing w:after="60" w:line="280" w:lineRule="auto"/>
        <w:jc w:val="both"/>
      </w:pPr>
      <w:r>
        <w:rPr>
          <w:rStyle w:val="Refdenotaalpie"/>
        </w:rPr>
        <w:footnoteRef/>
      </w:r>
      <w:r>
        <w:rPr>
          <w:sz w:val="18"/>
          <w:szCs w:val="18"/>
        </w:rPr>
        <w:t xml:space="preserve"> Rodríguez Marino, Figuras del destierro, 63-69.</w:t>
      </w:r>
    </w:p>
  </w:footnote>
  <w:footnote w:id="42">
    <w:p>
      <w:pPr>
        <w:spacing w:after="60" w:line="280" w:lineRule="auto"/>
        <w:jc w:val="both"/>
      </w:pPr>
      <w:r>
        <w:rPr>
          <w:rStyle w:val="Refdenotaalpie"/>
        </w:rPr>
        <w:footnoteRef/>
      </w:r>
      <w:r>
        <w:rPr>
          <w:sz w:val="18"/>
          <w:szCs w:val="18"/>
        </w:rPr>
        <w:t xml:space="preserve"> Agustín Rubio Alcover, «Sin lugar en el mundo. Narrativa, puesta en escena y discurso en las películas hispanoargentinas de Marcelo Piñeyro», Fotocinema. Revista Científica de Cine y Fotografía, n.º 8 (2014): 135-137.</w:t>
      </w:r>
    </w:p>
  </w:footnote>
  <w:footnote w:id="43">
    <w:p>
      <w:pPr>
        <w:spacing w:after="60" w:line="280" w:lineRule="auto"/>
        <w:jc w:val="both"/>
      </w:pPr>
      <w:r>
        <w:rPr>
          <w:rStyle w:val="Refdenotaalpie"/>
        </w:rPr>
        <w:footnoteRef/>
      </w:r>
      <w:r>
        <w:rPr>
          <w:sz w:val="18"/>
          <w:szCs w:val="18"/>
        </w:rPr>
        <w:t xml:space="preserve"> Rubio Alcover, «Sin lugar en el mundo», 137-138.</w:t>
      </w:r>
    </w:p>
  </w:footnote>
  <w:footnote w:id="44">
    <w:p>
      <w:pPr>
        <w:spacing w:after="60" w:line="280" w:lineRule="auto"/>
        <w:jc w:val="both"/>
      </w:pPr>
      <w:r>
        <w:rPr>
          <w:rStyle w:val="Refdenotaalpie"/>
        </w:rPr>
        <w:footnoteRef/>
      </w:r>
      <w:r>
        <w:rPr>
          <w:sz w:val="18"/>
          <w:szCs w:val="18"/>
        </w:rPr>
        <w:t xml:space="preserve"> Rubio Alcover, «Sin lugar en el mundo», 138-139.</w:t>
      </w:r>
    </w:p>
  </w:footnote>
  <w:footnote w:id="45">
    <w:p>
      <w:pPr>
        <w:spacing w:after="60" w:line="280" w:lineRule="auto"/>
        <w:jc w:val="both"/>
      </w:pPr>
      <w:r>
        <w:rPr>
          <w:rStyle w:val="Refdenotaalpie"/>
        </w:rPr>
        <w:footnoteRef/>
      </w:r>
      <w:r>
        <w:rPr>
          <w:sz w:val="18"/>
          <w:szCs w:val="18"/>
        </w:rPr>
        <w:t xml:space="preserve"> Convenio Hispano-Argentino de Relaciones Cinematográficas (firmado en Buenos Aires el 28 de agosto de 1969), BOE n.º 238, 4 de octubre de 1969, 15550-15552. El artículo 12 fija la participación de cada coproductor entre el 30 % y el 70 %, y el coste mínimo por largometraje en ocho millones de pesetas o cuarenta millones de pesos.</w:t>
      </w:r>
    </w:p>
  </w:footnote>
  <w:footnote w:id="46">
    <w:p>
      <w:pPr>
        <w:spacing w:after="60" w:line="280" w:lineRule="auto"/>
        <w:jc w:val="both"/>
      </w:pPr>
      <w:r>
        <w:rPr>
          <w:rStyle w:val="Refdenotaalpie"/>
        </w:rPr>
        <w:footnoteRef/>
      </w:r>
      <w:r>
        <w:rPr>
          <w:sz w:val="18"/>
          <w:szCs w:val="18"/>
        </w:rPr>
        <w:t xml:space="preserve"> Elena, «La difusión del cine latinoamericano». De las 1.256 películas latinoamericanas estrenadas en España entre 1933 y 1995, la proporción de títulos argentinos solo es superada por la de México.</w:t>
      </w:r>
    </w:p>
  </w:footnote>
  <w:footnote w:id="47">
    <w:p>
      <w:pPr>
        <w:spacing w:after="60" w:line="280" w:lineRule="auto"/>
        <w:jc w:val="both"/>
      </w:pPr>
      <w:r>
        <w:rPr>
          <w:rStyle w:val="Refdenotaalpie"/>
        </w:rPr>
        <w:footnoteRef/>
      </w:r>
      <w:r>
        <w:rPr>
          <w:sz w:val="18"/>
          <w:szCs w:val="18"/>
        </w:rPr>
        <w:t xml:space="preserve"> Thibaudeau, «Martín (Hache)». La autora subraya la escasez de planos de exteriores y la indiferenciación resultante entre Madrid y Buenos Aires.</w:t>
      </w:r>
    </w:p>
  </w:footnote>
  <w:footnote w:id="48">
    <w:p>
      <w:pPr>
        <w:spacing w:after="60" w:line="280" w:lineRule="auto"/>
        <w:jc w:val="both"/>
      </w:pPr>
      <w:r>
        <w:rPr>
          <w:rStyle w:val="Refdenotaalpie"/>
        </w:rPr>
        <w:footnoteRef/>
      </w:r>
      <w:r>
        <w:rPr>
          <w:sz w:val="18"/>
          <w:szCs w:val="18"/>
        </w:rPr>
        <w:t xml:space="preserve"> Thibaudeau, «Martín (Hache)». La inversión espacial del dibujo —el Pacífico contemplado desde Nueva York— crea un espacio imaginario que inventa nuevos horizontes.</w:t>
      </w:r>
    </w:p>
  </w:footnote>
  <w:footnote w:id="49">
    <w:p>
      <w:pPr>
        <w:spacing w:after="60" w:line="280" w:lineRule="auto"/>
        <w:jc w:val="both"/>
      </w:pPr>
      <w:r>
        <w:rPr>
          <w:rStyle w:val="Refdenotaalpie"/>
        </w:rPr>
        <w:footnoteRef/>
      </w:r>
      <w:r>
        <w:rPr>
          <w:sz w:val="18"/>
          <w:szCs w:val="18"/>
        </w:rPr>
        <w:t xml:space="preserve"> Thibaudeau, «Martín (Hache)». Sobre el nombre entre paréntesis, la letra muda y el brindis final («por Martín») como restitución del nombre y del tiempo.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5A9D"/>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60619"/>
    <w:rsid w:val="00563646"/>
    <w:rsid w:val="005726FC"/>
    <w:rsid w:val="00586684"/>
    <w:rsid w:val="00590392"/>
    <w:rsid w:val="005904C1"/>
    <w:rsid w:val="005A0C5E"/>
    <w:rsid w:val="005A4A08"/>
    <w:rsid w:val="005A67DC"/>
    <w:rsid w:val="005A6DAB"/>
    <w:rsid w:val="005B1602"/>
    <w:rsid w:val="005B4425"/>
    <w:rsid w:val="005C2D8F"/>
    <w:rsid w:val="005C5C36"/>
    <w:rsid w:val="005D6B01"/>
    <w:rsid w:val="006150F9"/>
    <w:rsid w:val="006325B9"/>
    <w:rsid w:val="00642137"/>
    <w:rsid w:val="0068653B"/>
    <w:rsid w:val="006A0DFC"/>
    <w:rsid w:val="006D5B22"/>
    <w:rsid w:val="006D6426"/>
    <w:rsid w:val="006F08D4"/>
    <w:rsid w:val="006F1449"/>
    <w:rsid w:val="00754E37"/>
    <w:rsid w:val="00797147"/>
    <w:rsid w:val="007A38A4"/>
    <w:rsid w:val="007A5A4D"/>
    <w:rsid w:val="007B11AB"/>
    <w:rsid w:val="007D47F7"/>
    <w:rsid w:val="007E3702"/>
    <w:rsid w:val="007E458C"/>
    <w:rsid w:val="007E516A"/>
    <w:rsid w:val="007F3DB3"/>
    <w:rsid w:val="0080499C"/>
    <w:rsid w:val="00816AC5"/>
    <w:rsid w:val="008272EC"/>
    <w:rsid w:val="00832E0B"/>
    <w:rsid w:val="008335E7"/>
    <w:rsid w:val="0089155C"/>
    <w:rsid w:val="008A0399"/>
    <w:rsid w:val="008A469A"/>
    <w:rsid w:val="008B0844"/>
    <w:rsid w:val="008D6E4D"/>
    <w:rsid w:val="00901775"/>
    <w:rsid w:val="00902F57"/>
    <w:rsid w:val="009247B1"/>
    <w:rsid w:val="0092733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82BFF"/>
    <w:rsid w:val="00BB105C"/>
    <w:rsid w:val="00BB5F80"/>
    <w:rsid w:val="00BC5528"/>
    <w:rsid w:val="00BE08A3"/>
    <w:rsid w:val="00C2772D"/>
    <w:rsid w:val="00C65104"/>
    <w:rsid w:val="00C7578A"/>
    <w:rsid w:val="00CA1211"/>
    <w:rsid w:val="00CB0DBE"/>
    <w:rsid w:val="00CC13D3"/>
    <w:rsid w:val="00CD58C6"/>
    <w:rsid w:val="00CE4EC3"/>
    <w:rsid w:val="00CF36DF"/>
    <w:rsid w:val="00D37384"/>
    <w:rsid w:val="00D462CF"/>
    <w:rsid w:val="00D85B76"/>
    <w:rsid w:val="00DB2566"/>
    <w:rsid w:val="00DE5BD5"/>
    <w:rsid w:val="00DF31CA"/>
    <w:rsid w:val="00E00314"/>
    <w:rsid w:val="00E05854"/>
    <w:rsid w:val="00E1096E"/>
    <w:rsid w:val="00E15D5B"/>
    <w:rsid w:val="00E441BE"/>
    <w:rsid w:val="00EB23B9"/>
    <w:rsid w:val="00EC18E3"/>
    <w:rsid w:val="00EC5F50"/>
    <w:rsid w:val="00EE1782"/>
    <w:rsid w:val="00F37BCD"/>
    <w:rsid w:val="00F608A2"/>
    <w:rsid w:val="00F66A3C"/>
    <w:rsid w:val="00F90642"/>
    <w:rsid w:val="00F90A04"/>
    <w:rsid w:val="00FA24EA"/>
    <w:rsid w:val="00FB16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2C084-AFD0-4AE8-ACF1-AEDEE037C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8224</Words>
  <Characters>46384</Characters>
  <Application>Microsoft Office Word</Application>
  <DocSecurity>0</DocSecurity>
  <Lines>760</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2026-06-10T09:14:00Z</dcterms:created>
  <dcterms:modified xsi:type="dcterms:W3CDTF">2026-06-10T09:14:00Z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