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A56FF7">
      <w:pPr>
        <w:spacing w:before="80" w:after="80"/>
        <w:jc w:val="center"/>
      </w:pPr>
      <w:r>
        <w:rPr>
          <w:b/>
          <w:bCs/>
          <w:sz w:val="28"/>
          <w:szCs w:val="28"/>
        </w:rPr>
        <w:t>UNIVERSIDAD DE MURCIA</w:t>
      </w:r>
    </w:p>
    <w:p w14:paraId="001C8140" w14:textId="77777777" w:rsidR="001B1890" w:rsidRDefault="00A56FF7">
      <w:pPr>
        <w:spacing w:before="80" w:after="80"/>
        <w:jc w:val="center"/>
      </w:pPr>
      <w:r>
        <w:rPr>
          <w:b/>
          <w:bCs/>
        </w:rPr>
        <w:t>FACULTAD DE LETRAS</w:t>
      </w:r>
    </w:p>
    <w:p w14:paraId="60971392" w14:textId="77777777" w:rsidR="001B1890" w:rsidRDefault="00A56FF7">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A56FF7">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A56FF7">
      <w:pPr>
        <w:spacing w:before="160" w:after="60"/>
        <w:jc w:val="center"/>
      </w:pPr>
      <w:r>
        <w:rPr>
          <w:b/>
          <w:bCs/>
          <w:sz w:val="28"/>
          <w:szCs w:val="28"/>
        </w:rPr>
        <w:t>LA VISIBILIDAD DEL CINE ARGENTINO EN ESPAÑA</w:t>
      </w:r>
    </w:p>
    <w:p w14:paraId="423C5671" w14:textId="77777777" w:rsidR="001B1890" w:rsidRDefault="00A56FF7">
      <w:pPr>
        <w:spacing w:before="80" w:after="60"/>
        <w:jc w:val="center"/>
      </w:pPr>
      <w:r>
        <w:rPr>
          <w:b/>
          <w:bCs/>
          <w:sz w:val="28"/>
          <w:szCs w:val="28"/>
        </w:rPr>
        <w:t>(1980–2000):</w:t>
      </w:r>
    </w:p>
    <w:p w14:paraId="1FCD0000" w14:textId="77777777" w:rsidR="001B1890" w:rsidRDefault="00A56FF7">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A56FF7">
      <w:pPr>
        <w:spacing w:before="200" w:after="80"/>
        <w:jc w:val="center"/>
      </w:pPr>
      <w:r>
        <w:rPr>
          <w:sz w:val="22"/>
          <w:szCs w:val="22"/>
        </w:rPr>
        <w:t>Autor: Facundo Nicolás Vallejos Ribles</w:t>
      </w:r>
    </w:p>
    <w:p w14:paraId="6D72BAB0" w14:textId="77777777" w:rsidR="001B1890" w:rsidRDefault="00A56FF7">
      <w:pPr>
        <w:spacing w:before="80" w:after="80"/>
        <w:jc w:val="center"/>
      </w:pPr>
      <w:r>
        <w:rPr>
          <w:sz w:val="22"/>
          <w:szCs w:val="22"/>
        </w:rPr>
        <w:t>Tutor: Dr. Joaquín Cánovas Belchí</w:t>
      </w:r>
    </w:p>
    <w:p w14:paraId="6570E64D" w14:textId="77777777" w:rsidR="001B1890" w:rsidRDefault="00A56FF7">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A56FF7">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77777777" w:rsidR="001B1890" w:rsidRDefault="00A56FF7">
      <w:pPr>
        <w:pStyle w:val="Ttulo1"/>
      </w:pPr>
      <w:r>
        <w:lastRenderedPageBreak/>
        <w:t>RESUMEN</w:t>
      </w:r>
    </w:p>
    <w:p w14:paraId="26E39844" w14:textId="77777777" w:rsidR="001B1890" w:rsidRDefault="00A56FF7">
      <w:pPr>
        <w:spacing w:after="160" w:line="360" w:lineRule="auto"/>
        <w:jc w:val="both"/>
      </w:pPr>
      <w:r>
        <w:t>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w:t>
      </w:r>
      <w:r>
        <w:t xml:space="preserve">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w:t>
      </w:r>
      <w:r>
        <w:t xml:space="preserve"> y la crítica española, no únicamente como productos cinematográficos extranjeros, sino como imágenes capaces de dialogar con una sociedad que también arrastraba sus propios conflictos con la memoria, la dictadura y la transición democrática.</w:t>
      </w:r>
    </w:p>
    <w:p w14:paraId="04552CAB" w14:textId="77777777" w:rsidR="001B1890" w:rsidRDefault="00A56FF7">
      <w:pPr>
        <w:spacing w:before="160" w:after="80"/>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p>
    <w:p w14:paraId="529F45EE" w14:textId="77777777" w:rsidR="001B1890" w:rsidRDefault="00A56FF7">
      <w:r>
        <w:br w:type="page"/>
      </w:r>
    </w:p>
    <w:p w14:paraId="434AA2F0" w14:textId="77777777" w:rsidR="001B1890" w:rsidRDefault="00A56FF7">
      <w:pPr>
        <w:pStyle w:val="Ttulo1"/>
      </w:pPr>
      <w:r>
        <w:lastRenderedPageBreak/>
        <w:t>EXTENDED ABSTRACT</w:t>
      </w:r>
    </w:p>
    <w:p w14:paraId="2159A51C" w14:textId="77777777" w:rsidR="001B1890" w:rsidRDefault="00A56FF7">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w:t>
      </w:r>
      <w:r>
        <w:t xml:space="preserve">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w:t>
      </w:r>
      <w:r>
        <w:t>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A56FF7">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A56FF7">
      <w:r>
        <w:br w:type="page"/>
      </w:r>
    </w:p>
    <w:p w14:paraId="50C34AB8" w14:textId="77777777" w:rsidR="001B1890" w:rsidRDefault="00A56FF7">
      <w:pPr>
        <w:pStyle w:val="Ttulo1"/>
      </w:pPr>
      <w:r>
        <w:lastRenderedPageBreak/>
        <w:t>ÍNDICE</w:t>
      </w:r>
    </w:p>
    <w:p w14:paraId="6F164A56" w14:textId="77777777" w:rsidR="001B1890" w:rsidRDefault="00A56FF7">
      <w:pPr>
        <w:tabs>
          <w:tab w:val="right" w:leader="dot" w:pos="8720"/>
        </w:tabs>
        <w:spacing w:before="120" w:after="60" w:line="320" w:lineRule="auto"/>
      </w:pPr>
      <w:r>
        <w:rPr>
          <w:b/>
          <w:bCs/>
        </w:rPr>
        <w:t>1. Introducción</w:t>
      </w:r>
      <w:r>
        <w:tab/>
        <w:t>4</w:t>
      </w:r>
    </w:p>
    <w:p w14:paraId="452EA8BF" w14:textId="77777777" w:rsidR="001B1890" w:rsidRDefault="00A56FF7">
      <w:pPr>
        <w:tabs>
          <w:tab w:val="right" w:leader="dot" w:pos="8720"/>
        </w:tabs>
        <w:spacing w:after="40" w:line="320" w:lineRule="auto"/>
        <w:ind w:left="440"/>
      </w:pPr>
      <w:r>
        <w:t>1.1. Justificación del tema</w:t>
      </w:r>
      <w:r>
        <w:tab/>
        <w:t>4</w:t>
      </w:r>
    </w:p>
    <w:p w14:paraId="2A0C899F" w14:textId="77777777" w:rsidR="001B1890" w:rsidRDefault="00A56FF7">
      <w:pPr>
        <w:tabs>
          <w:tab w:val="right" w:leader="dot" w:pos="8720"/>
        </w:tabs>
        <w:spacing w:after="40" w:line="320" w:lineRule="auto"/>
        <w:ind w:left="440"/>
      </w:pPr>
      <w:r>
        <w:t>1.2. Hipótesis y objetivos</w:t>
      </w:r>
      <w:r>
        <w:tab/>
        <w:t>4</w:t>
      </w:r>
    </w:p>
    <w:p w14:paraId="3E085142" w14:textId="77777777" w:rsidR="001B1890" w:rsidRDefault="00A56FF7">
      <w:pPr>
        <w:tabs>
          <w:tab w:val="right" w:leader="dot" w:pos="8720"/>
        </w:tabs>
        <w:spacing w:after="40" w:line="320" w:lineRule="auto"/>
        <w:ind w:left="440"/>
      </w:pPr>
      <w:r>
        <w:t>1.3. Estado de la cuestión</w:t>
      </w:r>
      <w:r>
        <w:tab/>
        <w:t>5</w:t>
      </w:r>
    </w:p>
    <w:p w14:paraId="6022292A" w14:textId="77777777" w:rsidR="001B1890" w:rsidRDefault="00A56FF7">
      <w:pPr>
        <w:tabs>
          <w:tab w:val="right" w:leader="dot" w:pos="8720"/>
        </w:tabs>
        <w:spacing w:after="40" w:line="320" w:lineRule="auto"/>
        <w:ind w:left="440"/>
      </w:pPr>
      <w:r>
        <w:t>1.4. Metodología y fuentes</w:t>
      </w:r>
      <w:r>
        <w:tab/>
        <w:t>6</w:t>
      </w:r>
    </w:p>
    <w:p w14:paraId="19922872" w14:textId="77777777" w:rsidR="001B1890" w:rsidRDefault="00A56FF7">
      <w:pPr>
        <w:tabs>
          <w:tab w:val="right" w:leader="dot" w:pos="8720"/>
        </w:tabs>
        <w:spacing w:after="40" w:line="320" w:lineRule="auto"/>
        <w:ind w:left="440"/>
      </w:pPr>
      <w:r>
        <w:t>1.5. Delimitación temporal (1980–2000)</w:t>
      </w:r>
      <w:r>
        <w:tab/>
        <w:t>6</w:t>
      </w:r>
    </w:p>
    <w:p w14:paraId="17265E61" w14:textId="77777777" w:rsidR="001B1890" w:rsidRDefault="00A56FF7">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A56FF7">
      <w:pPr>
        <w:tabs>
          <w:tab w:val="right" w:leader="dot" w:pos="8720"/>
        </w:tabs>
        <w:spacing w:before="120" w:after="60" w:line="320" w:lineRule="auto"/>
      </w:pPr>
      <w:r>
        <w:rPr>
          <w:b/>
          <w:bCs/>
        </w:rPr>
        <w:t>2. Contexto histórico y cultural</w:t>
      </w:r>
      <w:r>
        <w:tab/>
        <w:t>8</w:t>
      </w:r>
    </w:p>
    <w:p w14:paraId="2440D836" w14:textId="77777777" w:rsidR="001B1890" w:rsidRDefault="00A56FF7">
      <w:pPr>
        <w:tabs>
          <w:tab w:val="right" w:leader="dot" w:pos="8720"/>
        </w:tabs>
        <w:spacing w:after="40" w:line="320" w:lineRule="auto"/>
        <w:ind w:left="440"/>
      </w:pPr>
      <w:r>
        <w:t>2.1. La dictadura argentina (1976–1983) y el exilio cultural</w:t>
      </w:r>
      <w:r>
        <w:tab/>
        <w:t>8</w:t>
      </w:r>
    </w:p>
    <w:p w14:paraId="66B3548D" w14:textId="77777777" w:rsidR="001B1890" w:rsidRDefault="00A56FF7">
      <w:pPr>
        <w:tabs>
          <w:tab w:val="right" w:leader="dot" w:pos="8720"/>
        </w:tabs>
        <w:spacing w:after="40" w:line="320" w:lineRule="auto"/>
        <w:ind w:left="440"/>
      </w:pPr>
      <w:r>
        <w:t>2.2. España en la transición democrática y su apertura cultural</w:t>
      </w:r>
      <w:r>
        <w:tab/>
        <w:t>9</w:t>
      </w:r>
    </w:p>
    <w:p w14:paraId="08BF8343" w14:textId="77777777" w:rsidR="001B1890" w:rsidRDefault="00A56FF7">
      <w:pPr>
        <w:tabs>
          <w:tab w:val="right" w:leader="dot" w:pos="8720"/>
        </w:tabs>
        <w:spacing w:after="40" w:line="320" w:lineRule="auto"/>
        <w:ind w:left="440"/>
      </w:pPr>
      <w:r>
        <w:t>2.3. Redes de intercambio cultural entre Argentina y España</w:t>
      </w:r>
      <w:r>
        <w:tab/>
        <w:t>10</w:t>
      </w:r>
    </w:p>
    <w:p w14:paraId="361B533E" w14:textId="77777777" w:rsidR="001B1890" w:rsidRDefault="00A56FF7">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A56FF7">
      <w:pPr>
        <w:tabs>
          <w:tab w:val="right" w:leader="dot" w:pos="8720"/>
        </w:tabs>
        <w:spacing w:after="40" w:line="320" w:lineRule="auto"/>
        <w:ind w:left="440"/>
      </w:pPr>
      <w:r>
        <w:t>3.1. La memoria como eje narrativo y estético</w:t>
      </w:r>
      <w:r>
        <w:tab/>
        <w:t>11</w:t>
      </w:r>
    </w:p>
    <w:p w14:paraId="5010C244" w14:textId="77777777" w:rsidR="001B1890" w:rsidRDefault="00A56FF7">
      <w:pPr>
        <w:tabs>
          <w:tab w:val="right" w:leader="dot" w:pos="8720"/>
        </w:tabs>
        <w:spacing w:after="40" w:line="320" w:lineRule="auto"/>
        <w:ind w:left="440"/>
      </w:pPr>
      <w:r>
        <w:t>3.2. Caso de estudio: La historia oficial (Luis Puenzo, 1985)</w:t>
      </w:r>
      <w:r>
        <w:tab/>
        <w:t>13</w:t>
      </w:r>
    </w:p>
    <w:p w14:paraId="2DF9976D" w14:textId="77777777" w:rsidR="001B1890" w:rsidRDefault="00A56FF7">
      <w:pPr>
        <w:tabs>
          <w:tab w:val="right" w:leader="dot" w:pos="8720"/>
        </w:tabs>
        <w:spacing w:before="120" w:after="60" w:line="320" w:lineRule="auto"/>
      </w:pPr>
      <w:r>
        <w:rPr>
          <w:b/>
          <w:bCs/>
        </w:rPr>
        <w:t>4. El exilio, un vínculo de países</w:t>
      </w:r>
      <w:r>
        <w:tab/>
        <w:t>15</w:t>
      </w:r>
    </w:p>
    <w:p w14:paraId="5B32F994" w14:textId="77777777" w:rsidR="001B1890" w:rsidRDefault="00A56FF7">
      <w:pPr>
        <w:tabs>
          <w:tab w:val="right" w:leader="dot" w:pos="8720"/>
        </w:tabs>
        <w:spacing w:after="40" w:line="320" w:lineRule="auto"/>
        <w:ind w:left="440"/>
      </w:pPr>
      <w:r>
        <w:t>4.1. El cine del exilio argentino en España</w:t>
      </w:r>
      <w:r>
        <w:tab/>
        <w:t>15</w:t>
      </w:r>
    </w:p>
    <w:p w14:paraId="4D9D7975" w14:textId="77777777" w:rsidR="001B1890" w:rsidRDefault="00A56FF7">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A56FF7">
      <w:pPr>
        <w:tabs>
          <w:tab w:val="right" w:leader="dot" w:pos="8720"/>
        </w:tabs>
        <w:spacing w:after="40" w:line="320" w:lineRule="auto"/>
        <w:ind w:left="440"/>
      </w:pPr>
      <w:r>
        <w:t>4.3. Casos de estudio: Un lugar en el mundo y Martín (Hache)</w:t>
      </w:r>
      <w:r>
        <w:tab/>
        <w:t>18</w:t>
      </w:r>
    </w:p>
    <w:p w14:paraId="7291722A" w14:textId="77777777" w:rsidR="001B1890" w:rsidRDefault="00A56FF7">
      <w:pPr>
        <w:tabs>
          <w:tab w:val="right" w:leader="dot" w:pos="8720"/>
        </w:tabs>
        <w:spacing w:after="40" w:line="320" w:lineRule="auto"/>
        <w:ind w:left="440"/>
      </w:pPr>
      <w:r>
        <w:t>4.4. Recepción en España</w:t>
      </w:r>
      <w:r>
        <w:tab/>
        <w:t>20</w:t>
      </w:r>
    </w:p>
    <w:p w14:paraId="50D59A1C" w14:textId="77777777" w:rsidR="001B1890" w:rsidRDefault="00A56FF7">
      <w:pPr>
        <w:tabs>
          <w:tab w:val="right" w:leader="dot" w:pos="8720"/>
        </w:tabs>
        <w:spacing w:after="40" w:line="320" w:lineRule="auto"/>
        <w:ind w:left="880"/>
      </w:pPr>
      <w:r>
        <w:t>4.4.1. Festivales y crítica</w:t>
      </w:r>
      <w:r>
        <w:tab/>
        <w:t>20</w:t>
      </w:r>
    </w:p>
    <w:p w14:paraId="2D8610E5" w14:textId="77777777" w:rsidR="001B1890" w:rsidRDefault="00A56FF7">
      <w:pPr>
        <w:tabs>
          <w:tab w:val="right" w:leader="dot" w:pos="8720"/>
        </w:tabs>
        <w:spacing w:after="40" w:line="320" w:lineRule="auto"/>
        <w:ind w:left="880"/>
      </w:pPr>
      <w:r>
        <w:t>4.4.2. Premios Goya</w:t>
      </w:r>
      <w:r>
        <w:tab/>
        <w:t>21</w:t>
      </w:r>
    </w:p>
    <w:p w14:paraId="0B42EA2D" w14:textId="77777777" w:rsidR="001B1890" w:rsidRDefault="00A56FF7">
      <w:pPr>
        <w:tabs>
          <w:tab w:val="right" w:leader="dot" w:pos="8720"/>
        </w:tabs>
        <w:spacing w:after="40" w:line="320" w:lineRule="auto"/>
        <w:ind w:left="880"/>
      </w:pPr>
      <w:r>
        <w:t>4.4.3. La influencia del cine argentino en el audiovisual español</w:t>
      </w:r>
      <w:r>
        <w:tab/>
        <w:t>22</w:t>
      </w:r>
    </w:p>
    <w:p w14:paraId="211E70AE" w14:textId="77777777" w:rsidR="001B1890" w:rsidRDefault="00A56FF7">
      <w:pPr>
        <w:tabs>
          <w:tab w:val="right" w:leader="dot" w:pos="8720"/>
        </w:tabs>
        <w:spacing w:before="120" w:after="60" w:line="320" w:lineRule="auto"/>
      </w:pPr>
      <w:r>
        <w:rPr>
          <w:b/>
          <w:bCs/>
        </w:rPr>
        <w:t>5. Conclusiones</w:t>
      </w:r>
      <w:r>
        <w:tab/>
        <w:t>23</w:t>
      </w:r>
    </w:p>
    <w:p w14:paraId="27D57CC2" w14:textId="77777777" w:rsidR="001B1890" w:rsidRDefault="00A56FF7">
      <w:pPr>
        <w:tabs>
          <w:tab w:val="right" w:leader="dot" w:pos="8720"/>
        </w:tabs>
        <w:spacing w:after="40" w:line="320" w:lineRule="auto"/>
        <w:ind w:left="440"/>
      </w:pPr>
      <w:r>
        <w:t>5.1. Resultados del estudio</w:t>
      </w:r>
      <w:r>
        <w:tab/>
        <w:t>23</w:t>
      </w:r>
    </w:p>
    <w:p w14:paraId="441FE522" w14:textId="77777777" w:rsidR="001B1890" w:rsidRDefault="00A56FF7">
      <w:pPr>
        <w:tabs>
          <w:tab w:val="right" w:leader="dot" w:pos="8720"/>
        </w:tabs>
        <w:spacing w:after="40" w:line="320" w:lineRule="auto"/>
        <w:ind w:left="440"/>
      </w:pPr>
      <w:r>
        <w:t>5.2. Resolución de las hipótesis</w:t>
      </w:r>
      <w:r>
        <w:tab/>
        <w:t>24</w:t>
      </w:r>
    </w:p>
    <w:p w14:paraId="16A62E35" w14:textId="77777777" w:rsidR="001B1890" w:rsidRDefault="00A56FF7">
      <w:pPr>
        <w:tabs>
          <w:tab w:val="right" w:leader="dot" w:pos="8720"/>
        </w:tabs>
        <w:spacing w:before="120" w:after="60" w:line="320" w:lineRule="auto"/>
      </w:pPr>
      <w:r>
        <w:rPr>
          <w:b/>
          <w:bCs/>
        </w:rPr>
        <w:t>6. Referencias bibliográficas y documentales</w:t>
      </w:r>
      <w:r>
        <w:tab/>
        <w:t>25</w:t>
      </w:r>
    </w:p>
    <w:p w14:paraId="00476D77" w14:textId="77777777" w:rsidR="001B1890" w:rsidRDefault="00A56FF7">
      <w:r>
        <w:br w:type="page"/>
      </w:r>
    </w:p>
    <w:p w14:paraId="4F3F2946" w14:textId="77777777" w:rsidR="001B1890" w:rsidRDefault="00A56FF7">
      <w:pPr>
        <w:pStyle w:val="Ttulo1"/>
      </w:pPr>
      <w:r>
        <w:lastRenderedPageBreak/>
        <w:t>1. INTRODUCCIÓN</w:t>
      </w:r>
    </w:p>
    <w:p w14:paraId="451F415E" w14:textId="77777777" w:rsidR="001B1890" w:rsidRDefault="00A56FF7">
      <w:pPr>
        <w:pStyle w:val="Ttulo2"/>
      </w:pPr>
      <w:r>
        <w:t>1.1. Justificación del tema</w:t>
      </w:r>
    </w:p>
    <w:p w14:paraId="5B1B7A54" w14:textId="77777777" w:rsidR="001B1890" w:rsidRDefault="00A56FF7">
      <w:pPr>
        <w:spacing w:after="160" w:line="360" w:lineRule="auto"/>
        <w:ind w:firstLine="720"/>
        <w:jc w:val="both"/>
      </w:pPr>
      <w:r>
        <w:t xml:space="preserve">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w:t>
      </w:r>
      <w:r>
        <w:t>Al mismo tiempo, esa cinematografía necesitaba volver a ocupar un lugar en los circuitos internacionales de distribución, exhibición y reconocimiento crítico.</w:t>
      </w:r>
    </w:p>
    <w:p w14:paraId="4830D7C9" w14:textId="77777777" w:rsidR="001B1890" w:rsidRDefault="00A56FF7">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A56FF7">
      <w:pPr>
        <w:pStyle w:val="Ttulo2"/>
      </w:pPr>
      <w:r>
        <w:t>1.2. Hipótesis y objetivos</w:t>
      </w:r>
    </w:p>
    <w:p w14:paraId="7F29A20D" w14:textId="77777777" w:rsidR="001B1890" w:rsidRDefault="00A56FF7">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A56FF7">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A56FF7">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A56FF7">
      <w:pPr>
        <w:pStyle w:val="Ttulo2"/>
      </w:pPr>
      <w:r>
        <w:t>1.3. Estado de la cuestión</w:t>
      </w:r>
    </w:p>
    <w:p w14:paraId="318552F6" w14:textId="77777777" w:rsidR="001B1890" w:rsidRDefault="00A56FF7">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A56FF7">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w:t>
      </w:r>
      <w:r>
        <w:t>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A56FF7">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A56FF7">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w:t>
      </w:r>
      <w:r>
        <w:t>ción.</w:t>
      </w:r>
    </w:p>
    <w:p w14:paraId="3E149622" w14:textId="77777777" w:rsidR="001B1890" w:rsidRDefault="00A56FF7">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A56FF7">
      <w:pPr>
        <w:pStyle w:val="Ttulo2"/>
      </w:pPr>
      <w:r>
        <w:t>1.4. Metodología y fuentes</w:t>
      </w:r>
    </w:p>
    <w:p w14:paraId="75221CD5" w14:textId="77777777" w:rsidR="001B1890" w:rsidRDefault="00A56FF7">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w:t>
      </w:r>
      <w:r>
        <w:t>rcia.</w:t>
      </w:r>
    </w:p>
    <w:p w14:paraId="38B90F31" w14:textId="77777777" w:rsidR="001B1890" w:rsidRDefault="00A56FF7">
      <w:pPr>
        <w:pStyle w:val="Ttulo2"/>
      </w:pPr>
      <w:r>
        <w:t>1.5. Delimitación temporal (1980–2000)</w:t>
      </w:r>
    </w:p>
    <w:p w14:paraId="2E888F5D" w14:textId="77777777" w:rsidR="001B1890" w:rsidRDefault="00A56FF7">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w:t>
      </w:r>
      <w:r>
        <w:t>icos más constantes para la industria cinematográfica española.</w:t>
      </w:r>
    </w:p>
    <w:p w14:paraId="47F09DFA" w14:textId="77777777" w:rsidR="001B1890" w:rsidRDefault="00A56FF7">
      <w:pPr>
        <w:pStyle w:val="Ttulo2"/>
      </w:pPr>
      <w:r>
        <w:t>1.6. Antecedentes históricos: migraciones artísticas entre España y las Américas</w:t>
      </w:r>
    </w:p>
    <w:p w14:paraId="74E96CB0" w14:textId="77777777" w:rsidR="001B1890" w:rsidRDefault="00A56FF7">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521C77C6" w14:textId="5C607A02" w:rsidR="008D6E4D" w:rsidRDefault="00A56FF7" w:rsidP="0017210C">
      <w:pPr>
        <w:spacing w:after="160" w:line="360" w:lineRule="auto"/>
        <w:ind w:firstLine="720"/>
        <w:jc w:val="both"/>
      </w:pPr>
      <w:r>
        <w:t xml:space="preserve">En el caso específico de las relaciones </w:t>
      </w:r>
      <w:proofErr w:type="spellStart"/>
      <w:r>
        <w:t>hispanoargentinas</w:t>
      </w:r>
      <w:proofErr w:type="spellEnd"/>
      <w:r>
        <w:t>,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w:t>
      </w:r>
      <w:r>
        <w:t xml:space="preserve">nte tras México. </w:t>
      </w:r>
      <w:r>
        <w:footnoteReference w:id="3"/>
      </w:r>
      <w:r>
        <w:t xml:space="preserve"> </w:t>
      </w:r>
      <w:r>
        <w:footnoteReference w:id="4"/>
      </w:r>
    </w:p>
    <w:p w14:paraId="1F4813FD" w14:textId="1F271417" w:rsidR="00AB54B8" w:rsidRDefault="00DF31CA" w:rsidP="00DF31CA">
      <w:pPr>
        <w:spacing w:line="360" w:lineRule="auto"/>
        <w:jc w:val="both"/>
      </w:pPr>
      <w:r>
        <w:tab/>
        <w:t xml:space="preserve">Previo al fenómeno del exilio y a las coproducciones de finales del siglo XX, Argentina había construido un modelo basado en la industria y el clasicismo que tuvo lugar entre los años 1933 y 1956, que sitúa como su piedra angular la película </w:t>
      </w:r>
      <w:r w:rsidR="00AB54B8">
        <w:t>¡</w:t>
      </w:r>
      <w:r>
        <w:t>Tango!</w:t>
      </w:r>
      <w:r w:rsidR="00AB54B8">
        <w:t xml:space="preserve"> de Luis Moglia Barth del año 1933, largometraje realizado bajo el sello de Argentina Sono Film, productora fundada ese mismo año principalmente por </w:t>
      </w:r>
      <w:r w:rsidR="008A0399">
        <w:t>Ángel</w:t>
      </w:r>
      <w:r w:rsidR="00AB54B8">
        <w:t xml:space="preserve"> Mentasti. </w:t>
      </w:r>
    </w:p>
    <w:p w14:paraId="664B64D0" w14:textId="327D93AF" w:rsidR="00955669" w:rsidRDefault="00AB54B8" w:rsidP="00DF31CA">
      <w:pPr>
        <w:spacing w:line="360" w:lineRule="auto"/>
        <w:jc w:val="both"/>
      </w:pPr>
      <w:r>
        <w:t xml:space="preserve">Por otro lado, </w:t>
      </w:r>
      <w:r w:rsidR="00955669">
        <w:t xml:space="preserve">en abierta competencia comercial se encontraba la productora </w:t>
      </w:r>
      <w:proofErr w:type="spellStart"/>
      <w:r w:rsidR="00955669">
        <w:t>Lumiton</w:t>
      </w:r>
      <w:proofErr w:type="spellEnd"/>
      <w:r w:rsidR="00955669">
        <w:t xml:space="preserve"> con largometrajes como “Los tres berretines”, una comedia que se constituye como la primera película de esta productora. </w:t>
      </w:r>
    </w:p>
    <w:p w14:paraId="22D5FAD6" w14:textId="24644792" w:rsidR="006325B9" w:rsidRDefault="00955669" w:rsidP="00DF31CA">
      <w:pPr>
        <w:spacing w:line="360" w:lineRule="auto"/>
        <w:jc w:val="both"/>
      </w:pPr>
      <w:r>
        <w:tab/>
        <w:t>Las bases del puente entre España y</w:t>
      </w:r>
      <w:r w:rsidR="00E00314">
        <w:t xml:space="preserve"> las Americas </w:t>
      </w:r>
      <w:r>
        <w:t xml:space="preserve">no fueron nulas sino que se </w:t>
      </w:r>
      <w:r w:rsidR="00E00314">
        <w:t xml:space="preserve">devendrán diferentes acontecimientos producto de ese objetivo de forjar un </w:t>
      </w:r>
      <w:r w:rsidR="006325B9">
        <w:t>vínculo</w:t>
      </w:r>
      <w:r w:rsidR="00E00314">
        <w:t xml:space="preserve"> </w:t>
      </w:r>
      <w:r w:rsidR="006325B9">
        <w:t>transatlántico</w:t>
      </w:r>
      <w:r w:rsidR="00E00314">
        <w:t xml:space="preserve">, entre ellos se encuentra el II Congreso </w:t>
      </w:r>
      <w:r w:rsidR="006325B9">
        <w:t>Cinematográfico</w:t>
      </w:r>
      <w:r w:rsidR="00E00314">
        <w:t xml:space="preserve"> Hispanoamericano que se data en 1948 con participantes como Argentina, Cuba, España o México. Otro acontecimiento de singular trascendencia resulta el Consejo de la Hispanidad de 1940 que propiciará la fundación del Instituto de Cultura Hispánica en 1945</w:t>
      </w:r>
      <w:r w:rsidR="006325B9">
        <w:t xml:space="preserve"> con el objetivo de vincular las industrias de habla hispana frente a la agresiva comercialización de Hollywood.</w:t>
      </w:r>
    </w:p>
    <w:p w14:paraId="5D95230D" w14:textId="79FE58D6" w:rsidR="008A0399" w:rsidRDefault="006325B9" w:rsidP="00DF31CA">
      <w:pPr>
        <w:spacing w:line="360" w:lineRule="auto"/>
        <w:jc w:val="both"/>
      </w:pPr>
      <w:r>
        <w:lastRenderedPageBreak/>
        <w:tab/>
        <w:t xml:space="preserve">La traducción practica de este andamiaje institucional se materializó en Jalisco canta en Sevilla (1948) filmada poco después del congreso </w:t>
      </w:r>
      <w:r w:rsidR="008A0399">
        <w:t>de 1948, se corresponde con la primera coproducción de cine sonoro entre Mexico y España.</w:t>
      </w:r>
      <w:r w:rsidR="007E516A">
        <w:t xml:space="preserve"> Ambos países realizaron su aporte propio del </w:t>
      </w:r>
      <w:r w:rsidR="00D462CF">
        <w:t>género</w:t>
      </w:r>
      <w:r w:rsidR="007E516A">
        <w:t xml:space="preserve"> nacional, la comedia ranchera y la españolada de la segunda mitad de los años 40</w:t>
      </w:r>
      <w:r w:rsidR="00D462CF">
        <w:t xml:space="preserve"> y a este escenario se suma la participación de Jorge Negrete cuya presencia suponía un manifestación humana del ideal de Hispanidad, fue instrumentalizado por el franquismo a pesar de sus reticencias hacia él.</w:t>
      </w:r>
    </w:p>
    <w:p w14:paraId="0431C7CC" w14:textId="1491EEEB" w:rsidR="001B1890" w:rsidRDefault="006325B9" w:rsidP="00DF31CA">
      <w:pPr>
        <w:spacing w:line="360" w:lineRule="auto"/>
        <w:jc w:val="both"/>
      </w:pPr>
      <w:r>
        <w:tab/>
      </w:r>
      <w:r w:rsidR="00A56FF7">
        <w:br w:type="page"/>
      </w:r>
    </w:p>
    <w:p w14:paraId="04CA9768" w14:textId="77777777" w:rsidR="001B1890" w:rsidRDefault="00A56FF7">
      <w:pPr>
        <w:pStyle w:val="Ttulo1"/>
      </w:pPr>
      <w:r>
        <w:lastRenderedPageBreak/>
        <w:t>2. CONTEXTO HISTÓRICO Y CULTURAL</w:t>
      </w:r>
    </w:p>
    <w:p w14:paraId="49494B32" w14:textId="223EE2F9" w:rsidR="00B66390" w:rsidRDefault="00A56FF7">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0C0DAD9F" w14:textId="28160618" w:rsidR="00D85B76" w:rsidRDefault="00BC5528" w:rsidP="00D85B76">
      <w:pPr>
        <w:spacing w:after="160" w:line="360" w:lineRule="auto"/>
        <w:ind w:firstLine="720"/>
        <w:jc w:val="both"/>
      </w:pPr>
      <w:r>
        <w:t>Destierro que, en consecuencia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34605DC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proofErr w:type="spellStart"/>
      <w:r>
        <w:t>Lopez</w:t>
      </w:r>
      <w:proofErr w:type="spellEnd"/>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A56FF7">
      <w:pPr>
        <w:spacing w:after="160" w:line="360" w:lineRule="auto"/>
        <w:ind w:firstLine="720"/>
        <w:jc w:val="both"/>
      </w:pPr>
      <w:r>
        <w:lastRenderedPageBreak/>
        <w:t>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w:t>
      </w:r>
      <w:r>
        <w:t xml:space="preserve">res optaron por apartar la mirada ante lo que estaba ocurriendo. </w:t>
      </w:r>
      <w:r>
        <w:footnoteReference w:id="5"/>
      </w:r>
      <w:r>
        <w:t xml:space="preserve"> </w:t>
      </w:r>
      <w:r>
        <w:footnoteReference w:id="6"/>
      </w:r>
    </w:p>
    <w:p w14:paraId="0ED9C0FC" w14:textId="77777777" w:rsidR="001B1890" w:rsidRDefault="00A56FF7">
      <w:pPr>
        <w:spacing w:after="160" w:line="360" w:lineRule="auto"/>
        <w:ind w:firstLine="720"/>
        <w:jc w:val="both"/>
      </w:pPr>
      <w:r>
        <w:t>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elección, sino una necesidad de supervivencia. Salir del país impli</w:t>
      </w:r>
      <w:r>
        <w:t xml:space="preserve">caba salvar la vida, pero también aceptar una ruptura que afectaba de manera profunda a la identidad. </w:t>
      </w:r>
      <w:r>
        <w:footnoteReference w:id="7"/>
      </w:r>
    </w:p>
    <w:p w14:paraId="52CD41BD" w14:textId="77777777" w:rsidR="001B1890" w:rsidRDefault="00A56FF7">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r>
        <w:t>.</w:t>
      </w:r>
    </w:p>
    <w:p w14:paraId="275FC05C" w14:textId="77777777" w:rsidR="001B1890" w:rsidRDefault="00A56FF7">
      <w:pPr>
        <w:pStyle w:val="Ttulo2"/>
      </w:pPr>
      <w:r>
        <w:t>2.2. España en la transición democrática y su apertura cultural</w:t>
      </w:r>
    </w:p>
    <w:p w14:paraId="1F6354F4" w14:textId="77777777" w:rsidR="001B1890" w:rsidRDefault="00A56FF7">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w:t>
      </w:r>
      <w:r>
        <w:lastRenderedPageBreak/>
        <w:t xml:space="preserve">homogeneizadora del franquismo. Madrid y Barcelona se convirtieron así en espacios especialmente receptivos para las reivindicaciones de los exiliados argentinos. </w:t>
      </w:r>
      <w:r>
        <w:footnoteReference w:id="8"/>
      </w:r>
    </w:p>
    <w:p w14:paraId="40BECBB7" w14:textId="77777777" w:rsidR="001B1890" w:rsidRDefault="00A56FF7">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A56FF7">
      <w:pPr>
        <w:pStyle w:val="Ttulo2"/>
      </w:pPr>
      <w:r>
        <w:t>2.3. Redes de intercambio cultural entre Argentina y España</w:t>
      </w:r>
    </w:p>
    <w:p w14:paraId="16F3AD2F" w14:textId="44393F9F" w:rsidR="001B1890" w:rsidRDefault="00A56FF7">
      <w:pPr>
        <w:spacing w:after="160" w:line="360" w:lineRule="auto"/>
        <w:ind w:firstLine="720"/>
        <w:jc w:val="both"/>
      </w:pPr>
      <w:r>
        <w:t>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circulación internacional de sus producciones, mirando de forma preferente hacia Espa</w:t>
      </w:r>
      <w:r>
        <w:t xml:space="preserve">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w:t>
      </w:r>
      <w:r w:rsidR="00EC5F50">
        <w:t>des</w:t>
      </w:r>
      <w:r>
        <w:t xml:space="preserve">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r w:rsidR="005A4A08">
        <w:t>.</w:t>
      </w:r>
    </w:p>
    <w:p w14:paraId="1D479DFF" w14:textId="77777777" w:rsidR="001B1890" w:rsidRDefault="00A56FF7">
      <w:r>
        <w:br w:type="page"/>
      </w:r>
    </w:p>
    <w:p w14:paraId="5F8502C5" w14:textId="77777777" w:rsidR="001B1890" w:rsidRDefault="00A56FF7">
      <w:pPr>
        <w:pStyle w:val="Ttulo1"/>
      </w:pPr>
      <w:r>
        <w:lastRenderedPageBreak/>
        <w:t>3. EL CINE ARGENTINO TRAS LA DICTADURA: MEMORIA Y RECONSTRUCCIÓN</w:t>
      </w:r>
    </w:p>
    <w:p w14:paraId="0CC8362E" w14:textId="77777777" w:rsidR="001B1890" w:rsidRDefault="00A56FF7">
      <w:pPr>
        <w:pStyle w:val="Ttulo2"/>
      </w:pPr>
      <w:r>
        <w:t>3.1. La memoria como eje narrativo y estético</w:t>
      </w:r>
    </w:p>
    <w:p w14:paraId="77D34ACA" w14:textId="77777777" w:rsidR="001B1890" w:rsidRDefault="00A56FF7">
      <w:pPr>
        <w:spacing w:after="160" w:line="360" w:lineRule="auto"/>
        <w:ind w:firstLine="720"/>
        <w:jc w:val="both"/>
      </w:pPr>
      <w:r>
        <w:t>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w:t>
      </w:r>
      <w:r>
        <w:t xml:space="preserve">auma. </w:t>
      </w:r>
      <w:r>
        <w:footnoteReference w:id="11"/>
      </w:r>
    </w:p>
    <w:p w14:paraId="7FE91D8B" w14:textId="77777777" w:rsidR="001B1890" w:rsidRDefault="00A56FF7">
      <w:pPr>
        <w:spacing w:after="160" w:line="360" w:lineRule="auto"/>
        <w:ind w:firstLine="720"/>
        <w:jc w:val="both"/>
      </w:pPr>
      <w:r>
        <w:t>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w:t>
      </w:r>
      <w:r>
        <w:t xml:space="preserve">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A56FF7">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242FD23F" w14:textId="77777777" w:rsidR="001B1890" w:rsidRDefault="00A56FF7" w:rsidP="00495AAD">
      <w:r>
        <w:t>3.2. Caso de estudio: La historia oficial (Luis Puenzo, 1985)</w:t>
      </w:r>
    </w:p>
    <w:p w14:paraId="59A1801F" w14:textId="77777777" w:rsidR="001B1890" w:rsidRDefault="00A56FF7">
      <w:pPr>
        <w:pStyle w:val="Ttulo3"/>
      </w:pPr>
      <w:r>
        <w:t>C</w:t>
      </w:r>
      <w:r>
        <w:t>ontexto y argumento</w:t>
      </w:r>
    </w:p>
    <w:p w14:paraId="23BCF8CF" w14:textId="5B6FD8D7" w:rsidR="001B1890" w:rsidRDefault="00A56FF7">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A56FF7">
      <w:pPr>
        <w:pStyle w:val="Ttulo3"/>
      </w:pPr>
      <w:r>
        <w:t>Análisis formal y estético</w:t>
      </w:r>
    </w:p>
    <w:p w14:paraId="14DA4B7A" w14:textId="77777777" w:rsidR="001B1890" w:rsidRDefault="00A56FF7">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w:t>
      </w:r>
      <w:r>
        <w:t xml:space="preserve">representa también la necesidad de que la sociedad argentina mire aquello que había permanecido oculto. </w:t>
      </w:r>
      <w:r>
        <w:footnoteReference w:id="16"/>
      </w:r>
    </w:p>
    <w:p w14:paraId="158E3614" w14:textId="77777777" w:rsidR="001B1890" w:rsidRDefault="00A56FF7">
      <w:pPr>
        <w:pStyle w:val="Ttulo3"/>
      </w:pPr>
      <w:r>
        <w:t>Recepción y relevancia internacional</w:t>
      </w:r>
    </w:p>
    <w:p w14:paraId="0BBD5DEF" w14:textId="77777777" w:rsidR="001B1890" w:rsidRDefault="00A56FF7">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w:t>
      </w:r>
      <w:r>
        <w:lastRenderedPageBreak/>
        <w:t xml:space="preserve">posterior ha matizado su lectura, señalando que la estructura melodramática de </w:t>
      </w:r>
      <w:proofErr w:type="spellStart"/>
      <w:r>
        <w:t>Puenzo</w:t>
      </w:r>
      <w:proofErr w:type="spellEnd"/>
      <w:r>
        <w:t xml:space="preserve"> puede acercarse a la llamada «teoría de los dos demonios», al diluir en ocasiones la responsabil</w:t>
      </w:r>
      <w:r>
        <w:t xml:space="preserve">idad específica del Estado terrorista y de la complicidad civil. </w:t>
      </w:r>
      <w:r>
        <w:footnoteReference w:id="17"/>
      </w:r>
    </w:p>
    <w:p w14:paraId="7AC943EE" w14:textId="77777777" w:rsidR="001B1890" w:rsidRDefault="00A56FF7">
      <w:r>
        <w:br w:type="page"/>
      </w:r>
    </w:p>
    <w:p w14:paraId="164004D0" w14:textId="77777777" w:rsidR="001B1890" w:rsidRDefault="00A56FF7">
      <w:pPr>
        <w:pStyle w:val="Ttulo1"/>
      </w:pPr>
      <w:r>
        <w:lastRenderedPageBreak/>
        <w:t>4. EL EXILIO, UN VÍNCULO DE PAÍSES</w:t>
      </w:r>
    </w:p>
    <w:p w14:paraId="31056313" w14:textId="77777777" w:rsidR="001B1890" w:rsidRDefault="00A56FF7">
      <w:pPr>
        <w:pStyle w:val="Ttulo2"/>
      </w:pPr>
      <w:r>
        <w:t>4.1. El cine del exilio argentino en España</w:t>
      </w:r>
    </w:p>
    <w:p w14:paraId="36B69CA1" w14:textId="77777777" w:rsidR="001B1890" w:rsidRDefault="00A56FF7">
      <w:pPr>
        <w:spacing w:after="160" w:line="360" w:lineRule="auto"/>
        <w:ind w:firstLine="720"/>
        <w:jc w:val="both"/>
      </w:pPr>
      <w:r>
        <w:t>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w:t>
      </w:r>
      <w:r>
        <w:t xml:space="preserve">a, la pérdida de referencias y el dilema del retorno en un lenguaje visual capaz de interpelar al espectador. </w:t>
      </w:r>
      <w:r>
        <w:footnoteReference w:id="18"/>
      </w:r>
      <w:r>
        <w:t xml:space="preserve"> </w:t>
      </w:r>
      <w:r>
        <w:footnoteReference w:id="19"/>
      </w:r>
    </w:p>
    <w:p w14:paraId="16A3A655" w14:textId="77777777" w:rsidR="001B1890" w:rsidRDefault="00A56FF7">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 xml:space="preserve">en la que </w:t>
      </w:r>
      <w:r w:rsidR="005202BD">
        <w:lastRenderedPageBreak/>
        <w:t>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p>
    <w:p w14:paraId="1F30B631" w14:textId="77777777" w:rsidR="001B1890" w:rsidRDefault="00A56FF7">
      <w:pPr>
        <w:pStyle w:val="Ttulo2"/>
      </w:pPr>
      <w:r>
        <w:t xml:space="preserve">4.2. Coproducciones </w:t>
      </w:r>
      <w:proofErr w:type="spellStart"/>
      <w:r>
        <w:t>hispanoargentinas</w:t>
      </w:r>
      <w:proofErr w:type="spellEnd"/>
    </w:p>
    <w:p w14:paraId="2ACA28D4" w14:textId="77777777" w:rsidR="001B1890" w:rsidRDefault="00A56FF7">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A56FF7">
      <w:pPr>
        <w:spacing w:after="160" w:line="360" w:lineRule="auto"/>
        <w:ind w:firstLine="720"/>
        <w:jc w:val="both"/>
      </w:pPr>
      <w:r>
        <w:t>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w:t>
      </w:r>
      <w:r>
        <w:t xml:space="preserve">atos al gusto del socio más fuerte. Aun así, el prestigio autoral del cine argentino y la calidad de sus intérpretes actuaron como un contrapeso fundamental. </w:t>
      </w:r>
      <w:r>
        <w:footnoteReference w:id="21"/>
      </w:r>
    </w:p>
    <w:p w14:paraId="485AE547" w14:textId="77777777" w:rsidR="001B1890" w:rsidRDefault="00A56FF7">
      <w:pPr>
        <w:spacing w:after="160" w:line="360" w:lineRule="auto"/>
        <w:ind w:firstLine="720"/>
        <w:jc w:val="both"/>
      </w:pPr>
      <w:r>
        <w:t xml:space="preserve">Esa tensión entre colaboración y dependencia es precisamente uno de los rasgos más interesantes del modelo: las coproducciones abren puertas, pero también obligan a negociar qué imagen de Argentina puede circular en el mercado español. Por eso deben entenderse </w:t>
      </w:r>
      <w:r>
        <w:lastRenderedPageBreak/>
        <w:t>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w:t>
      </w:r>
      <w:proofErr w:type="spellStart"/>
      <w:r>
        <w:t>hispanoargentina</w:t>
      </w:r>
      <w:proofErr w:type="spellEnd"/>
      <w:r>
        <w:t xml:space="preserve"> </w:t>
      </w:r>
      <w:r w:rsidR="003932D1">
        <w:t xml:space="preserve">tuvo diferentes modelos, encontramos así a Adolfo Aristarain con un patrón mas autoral que difiere en cierta medida de autores como Marcelo Piñeyro que incorpora un patrón más industrial. Piñeyro, director y guionista argentino recibió una formación en Bellas Artes, fue socio de Luis Puenzo y además </w:t>
      </w:r>
      <w:r w:rsidR="0068653B">
        <w:t>productor</w:t>
      </w:r>
      <w:r w:rsidR="003932D1">
        <w:t xml:space="preserve"> </w:t>
      </w:r>
      <w:r w:rsidR="0068653B">
        <w:t xml:space="preserve">ejecutivo </w:t>
      </w:r>
      <w:r w:rsidR="003932D1">
        <w:t xml:space="preserve">de La Historia Oficial de </w:t>
      </w:r>
      <w:proofErr w:type="spellStart"/>
      <w:r w:rsidR="005A67DC">
        <w:t>Puenz</w:t>
      </w:r>
      <w:r w:rsidR="0068653B">
        <w:t>o</w:t>
      </w:r>
      <w:proofErr w:type="spellEnd"/>
      <w:r w:rsidR="002B1F15">
        <w:t>. A</w:t>
      </w:r>
      <w:r w:rsidR="0068653B">
        <w:t xml:space="preserve"> estas consideraciones se le suma que Pineyro ya previo cambio de</w:t>
      </w:r>
      <w:r w:rsidR="007E3702">
        <w:t xml:space="preserve"> su</w:t>
      </w:r>
      <w:r w:rsidR="0068653B">
        <w:t xml:space="preserve"> trayectoria cinematográfica a finales de los noventa </w:t>
      </w:r>
      <w:r w:rsidR="007E3702">
        <w:t xml:space="preserve">se inclinaba por un cine mas popular y comercial de modo que tenemos producciones como Tango feroz (1993), Caballos salvajes (1995) o Cenizas del paraíso (1997), películas que convergen además en la autoría del </w:t>
      </w:r>
      <w:r w:rsidR="002B1F15">
        <w:t>guion</w:t>
      </w:r>
      <w:r w:rsidR="007E3702">
        <w:t xml:space="preserve"> siendo </w:t>
      </w:r>
      <w:r w:rsidR="00524C49">
        <w:t xml:space="preserve">Aida Bortnik guionista de las tres quien había recurrido al exilio durante la dictadura. </w:t>
      </w:r>
    </w:p>
    <w:p w14:paraId="21387B6A" w14:textId="55FF1018" w:rsidR="00524C49" w:rsidRDefault="00524C49" w:rsidP="000201A6">
      <w:pPr>
        <w:spacing w:after="160" w:line="360" w:lineRule="auto"/>
        <w:ind w:firstLine="720"/>
        <w:jc w:val="both"/>
      </w:pPr>
      <w:r>
        <w:t xml:space="preserve">Hacia finales de los noventa Piñeyro tiene un punto de inflexión en su trayectoria incorporándose al modelo de las coproducciones con </w:t>
      </w:r>
      <w:r w:rsidR="00BB5F80">
        <w:t xml:space="preserve">el programa </w:t>
      </w:r>
      <w:proofErr w:type="spellStart"/>
      <w:r>
        <w:t>Ibermedia</w:t>
      </w:r>
      <w:proofErr w:type="spellEnd"/>
      <w:r>
        <w:t xml:space="preserve"> que </w:t>
      </w:r>
      <w:r w:rsidR="00BB5F80">
        <w:t>proporcionó ayudas</w:t>
      </w:r>
      <w:r>
        <w:t xml:space="preserve"> a las productoras con las que trataba Pineyro</w:t>
      </w:r>
      <w:r w:rsidR="00BB5F80">
        <w:t xml:space="preserve">. A esta coyuntura se adhiere el español Gerardo Herrero con su articulo “Tan lejos y tan </w:t>
      </w:r>
      <w:r w:rsidR="002B1F15">
        <w:t>cerca” de</w:t>
      </w:r>
      <w:r w:rsidR="00BB5F80">
        <w:t xml:space="preserve"> 1995 previo al programa </w:t>
      </w:r>
      <w:proofErr w:type="spellStart"/>
      <w:r w:rsidR="00BB5F80">
        <w:t>Ibermedia</w:t>
      </w:r>
      <w:proofErr w:type="spellEnd"/>
      <w:r w:rsidR="00BB5F80">
        <w:t xml:space="preserve"> y que actúa como premonición de lo que iba a suceder denotando su convencimiento de que el cine español debía estrechar lazos con Latinoamérica. </w:t>
      </w:r>
    </w:p>
    <w:p w14:paraId="00E4443F" w14:textId="77777777" w:rsidR="001C7639" w:rsidRDefault="00BB5F80" w:rsidP="00092F7E">
      <w:pPr>
        <w:spacing w:after="160" w:line="360" w:lineRule="auto"/>
        <w:ind w:firstLine="720"/>
        <w:jc w:val="both"/>
      </w:pPr>
      <w:r>
        <w:t xml:space="preserve">El cine de Piñeyro </w:t>
      </w:r>
      <w:r w:rsidR="0055126C">
        <w:t>se ha llegado a vincular con un</w:t>
      </w:r>
      <w:r>
        <w:t xml:space="preserve"> cine de adap</w:t>
      </w:r>
      <w:r w:rsidR="002B1F15">
        <w:t>ta</w:t>
      </w:r>
      <w:r>
        <w:t>ciones de encargo</w:t>
      </w:r>
      <w:r w:rsidR="0055126C">
        <w:t xml:space="preserve"> de un cineasta artesanal que opera en el ideal de invisibilidad de huella autoral donde los referentes se adecuan </w:t>
      </w:r>
      <w:r w:rsidR="002B1F15">
        <w:t>conscientes</w:t>
      </w:r>
      <w:r w:rsidR="0055126C">
        <w:t xml:space="preserve"> a ambos públicos, el español y el argentino. Tenemos dentro del modelo de coproducciones películas como Plata Quemada del año 2000, una </w:t>
      </w:r>
      <w:r w:rsidR="002B1F15">
        <w:t>coproducción</w:t>
      </w:r>
      <w:r w:rsidR="0055126C">
        <w:t xml:space="preserve"> argentina, francesa y uruguaya </w:t>
      </w:r>
      <w:r w:rsidR="00DE5BD5">
        <w:t xml:space="preserve">con un reparto </w:t>
      </w:r>
      <w:r w:rsidR="002B1F15">
        <w:t>transatlántico</w:t>
      </w:r>
      <w:r w:rsidR="00DE5BD5">
        <w:t xml:space="preserve"> con actores en el reparto como Eduardo Noriega o Leonardo Sbaraglia, película considerada en ocasiones como el detonante de una expansión del cine hispanoamericano de </w:t>
      </w:r>
      <w:r w:rsidR="002B1F15">
        <w:t>género</w:t>
      </w:r>
      <w:r w:rsidR="00DE5BD5">
        <w:t xml:space="preserve">. </w:t>
      </w:r>
      <w:r w:rsidR="002B1F15">
        <w:t>Haciéndose</w:t>
      </w:r>
      <w:r w:rsidR="00DE5BD5">
        <w:t xml:space="preserve"> eco del alcance logrado con el modelo de coproducciones tenemos películas como Kamchatka que logró más de 600.000 espectadores en las pantallas españolas debiendo parte de su éxito a la distribución de la película como película nacional en régimen de coproducción y a</w:t>
      </w:r>
      <w:r w:rsidR="002B1F15">
        <w:t>l fuerte vinculo entre Argentina y España</w:t>
      </w:r>
      <w:r w:rsidR="00092F7E">
        <w:t>, este factor que figura en</w:t>
      </w:r>
      <w:r w:rsidR="005A4A08">
        <w:t xml:space="preserve"> el BOE n.º 238 del 4 de octubre de 1969</w:t>
      </w:r>
      <w:r w:rsidR="00092F7E">
        <w:t xml:space="preserve"> remite a el Convenio Hispano-Argentino de Relaciones </w:t>
      </w:r>
      <w:proofErr w:type="spellStart"/>
      <w:r w:rsidR="00092F7E">
        <w:t>Cinematograficas</w:t>
      </w:r>
      <w:proofErr w:type="spellEnd"/>
      <w:r w:rsidR="00092F7E">
        <w:t xml:space="preserve">, por el que se acuerda que las películas en coproducción se consideran de origen nacional en los ambos países y se autoriza su explotación sin ningún tipo de límite, </w:t>
      </w:r>
      <w:r w:rsidR="001C7639">
        <w:t xml:space="preserve">entre las numerosas </w:t>
      </w:r>
      <w:r w:rsidR="001C7639">
        <w:lastRenderedPageBreak/>
        <w:t>premisas que establece se acuerda que la participación de cada coproductor puede variar entre un 30% y un 70% y que el coste mínimo por largometraje tiene que ser de ocho millones de peseta o cuarenta millones de pesos nacionales.</w:t>
      </w:r>
    </w:p>
    <w:p w14:paraId="621DC7B8" w14:textId="499E71C4" w:rsidR="0055126C" w:rsidRDefault="001C7639" w:rsidP="001C7639">
      <w:pPr>
        <w:spacing w:after="160" w:line="360" w:lineRule="auto"/>
        <w:ind w:firstLine="720"/>
        <w:jc w:val="both"/>
      </w:pPr>
      <w:r>
        <w:t>España se consolida como el principal socio de Argentina con el convenio de 1969 siendo el segundo convenio mas antiguo firmado por España, convirtiéndose en el principal destino</w:t>
      </w:r>
      <w:r>
        <w:tab/>
        <w:t xml:space="preserve"> del cine argentino, hecho que queda constatado por los datos</w:t>
      </w:r>
      <w:r w:rsidR="009774F1">
        <w:t xml:space="preserve"> cuantitativos que sustentan que de 1256 </w:t>
      </w:r>
      <w:r w:rsidR="008D6E4D">
        <w:t>películas</w:t>
      </w:r>
      <w:r w:rsidR="009774F1">
        <w:t xml:space="preserve"> latinoamericanas estrenadas en España entre los años 1933 y 1995, el 22% fueron argentinas dato únicamente superado por Mexico con 66,7%, a mayor abundamiento, solamente 53 </w:t>
      </w:r>
      <w:r w:rsidR="008D6E4D">
        <w:t>películas</w:t>
      </w:r>
      <w:r w:rsidR="009774F1">
        <w:t xml:space="preserve"> latinoamericanas rebasaron los 500.000 espectadores entre 1965 y 1995,</w:t>
      </w:r>
      <w:r w:rsidR="008D6E4D">
        <w:t xml:space="preserve"> prueba fehaciente de ello es Un lugar en el mundo que superó la barrera de los 500.000 espectadores.</w:t>
      </w:r>
    </w:p>
    <w:p w14:paraId="2AF1EDCE" w14:textId="77777777" w:rsidR="00BB5F80" w:rsidRDefault="00BB5F80" w:rsidP="000201A6">
      <w:pPr>
        <w:spacing w:after="160" w:line="360" w:lineRule="auto"/>
        <w:ind w:firstLine="720"/>
        <w:jc w:val="both"/>
      </w:pPr>
    </w:p>
    <w:p w14:paraId="621AA0C5" w14:textId="77777777" w:rsidR="001B1890" w:rsidRDefault="00A56FF7">
      <w:pPr>
        <w:pStyle w:val="Ttulo2"/>
      </w:pPr>
      <w:r>
        <w:t>4.3. Casos de estudio: Un lugar en el mundo y Martín (Hache)</w:t>
      </w:r>
    </w:p>
    <w:p w14:paraId="32968673" w14:textId="77777777" w:rsidR="001B1890" w:rsidRDefault="00A56FF7">
      <w:pPr>
        <w:pStyle w:val="Ttulo3"/>
      </w:pPr>
      <w:r>
        <w:t>Un lugar en el mundo (Adolfo Aristarain, Argentina/Uruguay/España, 1992)</w:t>
      </w:r>
    </w:p>
    <w:p w14:paraId="53B0BE4C" w14:textId="77777777" w:rsidR="001B1890" w:rsidRDefault="00A56FF7">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w:t>
      </w:r>
      <w:r>
        <w:t xml:space="preserve"> su madre, marcada por la nostalgia del exilio madrileño; y Domingo (José Sacristán), el geólogo español que introduce una mirada exterior sobre el conflicto argentino.</w:t>
      </w:r>
    </w:p>
    <w:p w14:paraId="3E813F41" w14:textId="77777777" w:rsidR="001B1890" w:rsidRDefault="00A56FF7">
      <w:pPr>
        <w:spacing w:after="160" w:line="360" w:lineRule="auto"/>
        <w:ind w:firstLine="720"/>
        <w:jc w:val="both"/>
      </w:pPr>
      <w:r>
        <w:t>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w:t>
      </w:r>
      <w:r>
        <w:t xml:space="preserve"> que avanza, pero que también arrasa aquello que no se adapta a sus lógicas.</w:t>
      </w:r>
    </w:p>
    <w:p w14:paraId="7F646BB0" w14:textId="77777777" w:rsidR="001B1890" w:rsidRDefault="00A56FF7">
      <w:pPr>
        <w:pStyle w:val="Ttulo3"/>
      </w:pPr>
      <w:r>
        <w:t>Martín (Hache) (Adolfo Aristarain, Argentina/España, 1997)</w:t>
      </w:r>
    </w:p>
    <w:p w14:paraId="4A843F4A" w14:textId="77777777" w:rsidR="001B1890" w:rsidRDefault="00A56FF7">
      <w:pPr>
        <w:spacing w:after="160" w:line="360" w:lineRule="auto"/>
        <w:ind w:firstLine="720"/>
        <w:jc w:val="both"/>
      </w:pPr>
      <w:r>
        <w:lastRenderedPageBreak/>
        <w:t>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w:t>
      </w:r>
      <w:r>
        <w:t xml:space="preserve"> se convierte así en una reflexión sobre la identidad herida: personajes incapaces de pertenecer plenamente ni al país que dejaron ni al país que los acoge. </w:t>
      </w:r>
      <w:r>
        <w:footnoteReference w:id="22"/>
      </w:r>
    </w:p>
    <w:p w14:paraId="4E7CD991" w14:textId="77777777" w:rsidR="001B1890" w:rsidRDefault="00A56FF7">
      <w:pPr>
        <w:spacing w:after="160" w:line="360" w:lineRule="auto"/>
        <w:ind w:firstLine="720"/>
        <w:jc w:val="both"/>
      </w:pPr>
      <w:r>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w:t>
      </w:r>
      <w:r>
        <w:t>e argentina rodada en España, sino ante una obra situada entre dos imaginarios.</w:t>
      </w:r>
    </w:p>
    <w:p w14:paraId="26B367CB" w14:textId="77777777" w:rsidR="001B1890" w:rsidRDefault="00A56FF7">
      <w:pPr>
        <w:pStyle w:val="Ttulo2"/>
      </w:pPr>
      <w:r>
        <w:t>4.4. Recepción en España</w:t>
      </w:r>
    </w:p>
    <w:p w14:paraId="4BA1A199" w14:textId="77777777" w:rsidR="001B1890" w:rsidRDefault="00A56FF7">
      <w:pPr>
        <w:pStyle w:val="Ttulo3"/>
      </w:pPr>
      <w:r>
        <w:t>4.4.1. Festivales y crítica</w:t>
      </w:r>
    </w:p>
    <w:p w14:paraId="12C15608" w14:textId="77777777" w:rsidR="001B1890" w:rsidRDefault="00A56FF7">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A56FF7">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w:t>
      </w:r>
      <w:r>
        <w:lastRenderedPageBreak/>
        <w:t xml:space="preserve">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A56FF7">
      <w:pPr>
        <w:pStyle w:val="Ttulo3"/>
      </w:pPr>
      <w:r>
        <w:t>4.4.2. Premios Goya</w:t>
      </w:r>
    </w:p>
    <w:p w14:paraId="2D79915C" w14:textId="77777777" w:rsidR="001B1890" w:rsidRDefault="00A56FF7">
      <w:pPr>
        <w:spacing w:after="160" w:line="360" w:lineRule="auto"/>
        <w:ind w:firstLine="720"/>
        <w:jc w:val="both"/>
      </w:pPr>
      <w:r>
        <w:t>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w:t>
      </w:r>
      <w:r>
        <w:t xml:space="preserve"> a Cecilia Roth por Martín (Hache) terminó de confirmar que el talento actoral argentino se había integrado de manera natural en el imaginario cinematográfico español.</w:t>
      </w:r>
    </w:p>
    <w:p w14:paraId="2BCA5296" w14:textId="77777777" w:rsidR="001B1890" w:rsidRDefault="00A56FF7">
      <w:pPr>
        <w:pStyle w:val="Ttulo3"/>
      </w:pPr>
      <w:r>
        <w:t>4.4.3. La influencia del cine argentino en el audiovisual español</w:t>
      </w:r>
    </w:p>
    <w:p w14:paraId="0BCF0802" w14:textId="77777777" w:rsidR="001B1890" w:rsidRDefault="00A56FF7">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A56FF7">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w:t>
      </w:r>
      <w:r>
        <w:lastRenderedPageBreak/>
        <w:t>estética: no solo viajan los temas, sino también las formas de iluminar, encuadrar, interpretar y construir visualmente la memoria</w:t>
      </w:r>
      <w:r>
        <w:t>.</w:t>
      </w:r>
    </w:p>
    <w:p w14:paraId="714BDB31" w14:textId="77777777" w:rsidR="001B1890" w:rsidRDefault="00A56FF7">
      <w:r>
        <w:br w:type="page"/>
      </w:r>
    </w:p>
    <w:p w14:paraId="0624DED7" w14:textId="77777777" w:rsidR="001B1890" w:rsidRDefault="00A56FF7">
      <w:pPr>
        <w:pStyle w:val="Ttulo1"/>
      </w:pPr>
      <w:r>
        <w:lastRenderedPageBreak/>
        <w:t>5. CONCLUSIONES</w:t>
      </w:r>
    </w:p>
    <w:p w14:paraId="4F859148" w14:textId="77777777" w:rsidR="001B1890" w:rsidRDefault="00A56FF7">
      <w:pPr>
        <w:pStyle w:val="Ttulo2"/>
      </w:pPr>
      <w:r>
        <w:t>5.1. Resultados del estudio</w:t>
      </w:r>
    </w:p>
    <w:p w14:paraId="52235351" w14:textId="77777777" w:rsidR="001B1890" w:rsidRDefault="00A56FF7">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040344D" w14:textId="77777777" w:rsidR="001B1890" w:rsidRDefault="00A56FF7">
      <w:pPr>
        <w:pStyle w:val="Ttulo2"/>
      </w:pPr>
      <w:r>
        <w:t>5.2. Resolución de las hipótesis</w:t>
      </w:r>
    </w:p>
    <w:p w14:paraId="2A233AB3" w14:textId="77777777" w:rsidR="001B1890" w:rsidRDefault="00A56FF7">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w:t>
      </w:r>
      <w:r>
        <w:t>l una forma de pensar también sus silencios, sus ausencias y sus deudas con el pasado.</w:t>
      </w:r>
    </w:p>
    <w:p w14:paraId="248FBEDE" w14:textId="77777777" w:rsidR="001B1890" w:rsidRDefault="00A56FF7">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399A1C52" w14:textId="77777777" w:rsidR="001B1890" w:rsidRDefault="00A56FF7">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xml:space="preserve">, un mapa de intercambios donde las imágenes cruzaron </w:t>
      </w:r>
      <w:r>
        <w:lastRenderedPageBreak/>
        <w:t>el Atlántico cargadas de memoria, pero también de nuevas posibilidades estéticas e industriales.</w:t>
      </w:r>
    </w:p>
    <w:p w14:paraId="683D4F2D" w14:textId="77777777" w:rsidR="001B1890" w:rsidRDefault="00A56FF7">
      <w:r>
        <w:br w:type="page"/>
      </w:r>
    </w:p>
    <w:p w14:paraId="131365F0" w14:textId="77777777" w:rsidR="001B1890" w:rsidRDefault="00A56FF7">
      <w:pPr>
        <w:pStyle w:val="Ttulo1"/>
      </w:pPr>
      <w:r>
        <w:lastRenderedPageBreak/>
        <w:t>6. REFERENCIAS BIBLIOGRÁFICAS Y DOCUMENTALES</w:t>
      </w:r>
    </w:p>
    <w:p w14:paraId="6A3A73F0" w14:textId="77777777" w:rsidR="001B1890" w:rsidRDefault="00A56FF7">
      <w:pPr>
        <w:spacing w:before="200" w:after="60"/>
      </w:pPr>
      <w:r>
        <w:rPr>
          <w:b/>
          <w:bCs/>
        </w:rPr>
        <w:t>I. Fuentes primarias</w:t>
      </w:r>
    </w:p>
    <w:p w14:paraId="5F7EB087" w14:textId="77777777" w:rsidR="001B1890" w:rsidRDefault="00A56FF7">
      <w:pPr>
        <w:spacing w:before="80" w:after="30"/>
      </w:pPr>
      <w:r>
        <w:rPr>
          <w:b/>
          <w:bCs/>
          <w:i/>
          <w:iCs/>
        </w:rPr>
        <w:t>A. Obras cinematográficas</w:t>
      </w:r>
    </w:p>
    <w:p w14:paraId="1A470BEE" w14:textId="77777777" w:rsidR="001B1890" w:rsidRDefault="00A56FF7">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A56FF7">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A56FF7">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A56FF7">
      <w:pPr>
        <w:spacing w:before="100" w:after="30"/>
      </w:pPr>
      <w:r>
        <w:rPr>
          <w:b/>
          <w:bCs/>
          <w:i/>
          <w:iCs/>
        </w:rPr>
        <w:t>B. Documentos normativos y legislativos</w:t>
      </w:r>
    </w:p>
    <w:p w14:paraId="53954E0A" w14:textId="77777777" w:rsidR="001B1890" w:rsidRDefault="00A56FF7">
      <w:pPr>
        <w:spacing w:after="140" w:line="340" w:lineRule="auto"/>
        <w:ind w:left="720" w:hanging="720"/>
        <w:jc w:val="both"/>
      </w:pPr>
      <w:r>
        <w:t>Convenio Hispano-Argentino de Relaciones Cinematográficas. Madrid, 1969.</w:t>
      </w:r>
    </w:p>
    <w:p w14:paraId="21DFC32E" w14:textId="77777777" w:rsidR="001B1890" w:rsidRDefault="00A56FF7">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A56FF7">
      <w:pPr>
        <w:spacing w:after="140" w:line="340" w:lineRule="auto"/>
        <w:ind w:left="720" w:hanging="720"/>
        <w:jc w:val="both"/>
      </w:pPr>
      <w:r>
        <w:t>Convenio de Integración Cinematográfica Iberoamericana (CAACI). Caracas, 1989.</w:t>
      </w:r>
    </w:p>
    <w:p w14:paraId="259F7120" w14:textId="77777777" w:rsidR="001B1890" w:rsidRDefault="00A56FF7">
      <w:pPr>
        <w:spacing w:before="220" w:after="60"/>
      </w:pPr>
      <w:r>
        <w:rPr>
          <w:b/>
          <w:bCs/>
        </w:rPr>
        <w:t>II. Fuentes documentales</w:t>
      </w:r>
    </w:p>
    <w:p w14:paraId="70C3964A" w14:textId="77777777" w:rsidR="001B1890" w:rsidRDefault="00A56FF7">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A56FF7">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A56FF7">
      <w:pPr>
        <w:spacing w:before="220" w:after="60"/>
      </w:pPr>
      <w:r>
        <w:rPr>
          <w:b/>
          <w:bCs/>
        </w:rPr>
        <w:t>III. Estudios generales sobre cine e historia del arte</w:t>
      </w:r>
    </w:p>
    <w:p w14:paraId="4171A36D" w14:textId="77777777" w:rsidR="001B1890" w:rsidRDefault="00A56FF7">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A56FF7">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A56FF7">
      <w:pPr>
        <w:spacing w:after="140" w:line="340" w:lineRule="auto"/>
        <w:ind w:left="720" w:hanging="720"/>
        <w:jc w:val="both"/>
      </w:pPr>
      <w:r>
        <w:t>Richard, Nelly. Fracturas de la memoria: arte y pensamiento crítico. Buenos Aires: Siglo XXI Editores, 2007.</w:t>
      </w:r>
    </w:p>
    <w:p w14:paraId="028A9A88" w14:textId="77777777" w:rsidR="001B1890" w:rsidRDefault="00A56FF7">
      <w:pPr>
        <w:spacing w:before="220" w:after="60"/>
      </w:pPr>
      <w:r>
        <w:rPr>
          <w:b/>
          <w:bCs/>
        </w:rPr>
        <w:t>IV. Estudios específicos</w:t>
      </w:r>
    </w:p>
    <w:p w14:paraId="1A5714E5" w14:textId="77777777" w:rsidR="001B1890" w:rsidRDefault="00A56FF7">
      <w:pPr>
        <w:spacing w:before="80" w:after="30"/>
      </w:pPr>
      <w:r>
        <w:rPr>
          <w:b/>
          <w:bCs/>
          <w:i/>
          <w:iCs/>
        </w:rPr>
        <w:lastRenderedPageBreak/>
        <w:t>A. Cine argentino, latinoamericano y nueva cinematografía</w:t>
      </w:r>
    </w:p>
    <w:p w14:paraId="19C96598" w14:textId="77777777" w:rsidR="001B1890" w:rsidRDefault="00A56FF7">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A56FF7">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A56FF7">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A56FF7">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A56FF7">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A56FF7">
      <w:pPr>
        <w:spacing w:before="100" w:after="30"/>
      </w:pPr>
      <w:r>
        <w:rPr>
          <w:b/>
          <w:bCs/>
          <w:i/>
          <w:iCs/>
        </w:rPr>
        <w:t>B. Exilio político, memoria y cultura visual</w:t>
      </w:r>
    </w:p>
    <w:p w14:paraId="284908D8" w14:textId="77777777" w:rsidR="001B1890" w:rsidRDefault="00A56FF7">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A56FF7">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A56FF7">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A56FF7">
      <w:pPr>
        <w:spacing w:before="100" w:after="30"/>
      </w:pPr>
      <w:r>
        <w:rPr>
          <w:b/>
          <w:bCs/>
          <w:i/>
          <w:iCs/>
        </w:rPr>
        <w:t>C. Circulación transatlántica, coproducciones y recepción en España</w:t>
      </w:r>
    </w:p>
    <w:p w14:paraId="054F74B4" w14:textId="77777777" w:rsidR="001B1890" w:rsidRDefault="00A56FF7">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A56FF7">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A56FF7">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A56FF7">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A56FF7">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A56FF7">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A56FF7">
      <w:pPr>
        <w:spacing w:before="220" w:after="60"/>
      </w:pPr>
      <w:r>
        <w:rPr>
          <w:b/>
          <w:bCs/>
        </w:rPr>
        <w:t>V. Tesis doctorales</w:t>
      </w:r>
    </w:p>
    <w:p w14:paraId="1418E769" w14:textId="77777777" w:rsidR="001B1890" w:rsidRDefault="00A56FF7">
      <w:pPr>
        <w:spacing w:after="140" w:line="340" w:lineRule="auto"/>
        <w:ind w:left="720" w:hanging="720"/>
        <w:jc w:val="both"/>
      </w:pPr>
      <w:r>
        <w:t>Amado, Ana María. Cine argentino y política (1980–2007): la imagen justa.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9D83" w14:textId="77777777" w:rsidR="00A56FF7" w:rsidRDefault="00A56FF7">
      <w:r>
        <w:separator/>
      </w:r>
    </w:p>
  </w:endnote>
  <w:endnote w:type="continuationSeparator" w:id="0">
    <w:p w14:paraId="5AC7D3BD" w14:textId="77777777" w:rsidR="00A56FF7" w:rsidRDefault="00A56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A56FF7">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BB073" w14:textId="77777777" w:rsidR="00A56FF7" w:rsidRDefault="00A56FF7">
      <w:r>
        <w:separator/>
      </w:r>
    </w:p>
  </w:footnote>
  <w:footnote w:type="continuationSeparator" w:id="0">
    <w:p w14:paraId="2E376AF9" w14:textId="77777777" w:rsidR="00A56FF7" w:rsidRDefault="00A56FF7">
      <w:r>
        <w:continuationSeparator/>
      </w:r>
    </w:p>
  </w:footnote>
  <w:footnote w:id="1">
    <w:p w14:paraId="31591E4A" w14:textId="77777777" w:rsidR="001B1890" w:rsidRDefault="00A56FF7">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A56FF7">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A56FF7">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A56FF7">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A56FF7">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A56FF7">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Véase también el Convenio de Integración Cinematográfica Iberoamericana (1989).</w:t>
      </w:r>
    </w:p>
  </w:footnote>
  <w:footnote w:id="10">
    <w:p w14:paraId="1AFB828F" w14:textId="77777777" w:rsidR="001B1890" w:rsidRDefault="00A56FF7">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A56FF7">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A56FF7">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A56FF7">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A56FF7">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A56FF7">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A56FF7">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A56FF7">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A56FF7">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A56FF7">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A56FF7">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A56FF7">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92F7E"/>
    <w:rsid w:val="000C275E"/>
    <w:rsid w:val="000F2DB1"/>
    <w:rsid w:val="00133637"/>
    <w:rsid w:val="0013674D"/>
    <w:rsid w:val="00152117"/>
    <w:rsid w:val="0017210C"/>
    <w:rsid w:val="00194AE6"/>
    <w:rsid w:val="001B1890"/>
    <w:rsid w:val="001C7639"/>
    <w:rsid w:val="00202764"/>
    <w:rsid w:val="00271AF4"/>
    <w:rsid w:val="00297A58"/>
    <w:rsid w:val="002B1F15"/>
    <w:rsid w:val="0035293C"/>
    <w:rsid w:val="003932D1"/>
    <w:rsid w:val="00397C91"/>
    <w:rsid w:val="00464820"/>
    <w:rsid w:val="0047089A"/>
    <w:rsid w:val="00495AAD"/>
    <w:rsid w:val="004B037B"/>
    <w:rsid w:val="004B2F9E"/>
    <w:rsid w:val="004B3CFE"/>
    <w:rsid w:val="004C1CC0"/>
    <w:rsid w:val="004C7B0E"/>
    <w:rsid w:val="004F7D66"/>
    <w:rsid w:val="00517678"/>
    <w:rsid w:val="005202BD"/>
    <w:rsid w:val="00524C49"/>
    <w:rsid w:val="0055126C"/>
    <w:rsid w:val="00560156"/>
    <w:rsid w:val="00586684"/>
    <w:rsid w:val="00590392"/>
    <w:rsid w:val="005A4A08"/>
    <w:rsid w:val="005A67DC"/>
    <w:rsid w:val="005B1602"/>
    <w:rsid w:val="005C2D8F"/>
    <w:rsid w:val="005D6B01"/>
    <w:rsid w:val="006325B9"/>
    <w:rsid w:val="00642137"/>
    <w:rsid w:val="0068653B"/>
    <w:rsid w:val="006D5B22"/>
    <w:rsid w:val="006D6426"/>
    <w:rsid w:val="006F08D4"/>
    <w:rsid w:val="006F1449"/>
    <w:rsid w:val="00754E37"/>
    <w:rsid w:val="00797147"/>
    <w:rsid w:val="007A5A4D"/>
    <w:rsid w:val="007B11AB"/>
    <w:rsid w:val="007E3702"/>
    <w:rsid w:val="007E516A"/>
    <w:rsid w:val="0080499C"/>
    <w:rsid w:val="008272EC"/>
    <w:rsid w:val="00832E0B"/>
    <w:rsid w:val="0089155C"/>
    <w:rsid w:val="008A0399"/>
    <w:rsid w:val="008A469A"/>
    <w:rsid w:val="008D6E4D"/>
    <w:rsid w:val="00901775"/>
    <w:rsid w:val="009247B1"/>
    <w:rsid w:val="009360B9"/>
    <w:rsid w:val="00955669"/>
    <w:rsid w:val="00972A6F"/>
    <w:rsid w:val="009774F1"/>
    <w:rsid w:val="00980029"/>
    <w:rsid w:val="00A36E31"/>
    <w:rsid w:val="00A37ED5"/>
    <w:rsid w:val="00A450C0"/>
    <w:rsid w:val="00A55D1C"/>
    <w:rsid w:val="00A56FF7"/>
    <w:rsid w:val="00A94A40"/>
    <w:rsid w:val="00AB54B8"/>
    <w:rsid w:val="00AB6E2A"/>
    <w:rsid w:val="00AD60FA"/>
    <w:rsid w:val="00AF1DC5"/>
    <w:rsid w:val="00B0586B"/>
    <w:rsid w:val="00B219A9"/>
    <w:rsid w:val="00B52D39"/>
    <w:rsid w:val="00B66390"/>
    <w:rsid w:val="00B8122B"/>
    <w:rsid w:val="00BB105C"/>
    <w:rsid w:val="00BB5F80"/>
    <w:rsid w:val="00BC5528"/>
    <w:rsid w:val="00BE08A3"/>
    <w:rsid w:val="00C65104"/>
    <w:rsid w:val="00C7578A"/>
    <w:rsid w:val="00CA1211"/>
    <w:rsid w:val="00CB0DBE"/>
    <w:rsid w:val="00CC13D3"/>
    <w:rsid w:val="00CD58C6"/>
    <w:rsid w:val="00CE4EC3"/>
    <w:rsid w:val="00D37384"/>
    <w:rsid w:val="00D462CF"/>
    <w:rsid w:val="00D85B76"/>
    <w:rsid w:val="00DB2566"/>
    <w:rsid w:val="00DE5BD5"/>
    <w:rsid w:val="00DF31CA"/>
    <w:rsid w:val="00E00314"/>
    <w:rsid w:val="00E1096E"/>
    <w:rsid w:val="00E441BE"/>
    <w:rsid w:val="00EB23B9"/>
    <w:rsid w:val="00EC18E3"/>
    <w:rsid w:val="00EC5F50"/>
    <w:rsid w:val="00EE1782"/>
    <w:rsid w:val="00F608A2"/>
    <w:rsid w:val="00F66A3C"/>
    <w:rsid w:val="00F90642"/>
    <w:rsid w:val="00F90A04"/>
    <w:rsid w:val="00FA24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52C084-AFD0-4AE8-ACF1-AEDEE037CC9F}">
  <ds:schemaRefs>
    <ds:schemaRef ds:uri="http://schemas.microsoft.com/sharepoint/v3/contenttype/forms"/>
  </ds:schemaRefs>
</ds:datastoreItem>
</file>

<file path=customXml/itemProps3.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7033</Words>
  <Characters>39667</Characters>
  <Application>Microsoft Office Word</Application>
  <DocSecurity>0</DocSecurity>
  <Lines>650</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2026-06-09T21:00:00Z</dcterms:created>
  <dcterms:modified xsi:type="dcterms:W3CDTF">2026-06-09T21:00:00Z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