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&lt;title&gt;Orientarô&lt;/title&gt;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linear-gradient(to bottom right, #3a3a3a, #000000);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background: #673ab7;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background: #4527a0;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margin: 0 15px;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.curso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background: #1e1e1e;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background: #212121;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color: #ccc;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.botao-comprar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background: #ffca28;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color: #000;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&lt;h1&gt;Orientarô&lt;/h1&gt;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&lt;p&gt;Tarô, Runas, Pintura Terapêutica e muito mais&lt;/p&gt;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&lt;a href="#tarot"&gt;Tarô&lt;/a&gt;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&lt;a href="#runas"&gt;Runas&lt;/a&gt;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&lt;a href="#pintura"&gt;Pintura Terapêutica&lt;/a&gt;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&lt;a href="#oficinas"&gt;Velas e Cosméticos&lt;/a&gt;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&lt;a href="#convidados"&gt;Convidados&lt;/a&gt;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&lt;section id="tarot" class="curso"&gt;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&lt;h2&gt;Curso de Tarô&lt;/h2&gt;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&lt;p&gt;Explore os arcanos maiores e menores com profundidade e intuição.&lt;/p&gt;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&lt;a class="botao-comprar" href="#"&gt;Adquirir acesso (1 ano)&lt;/a&gt;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&lt;section id="runas" class="curso"&gt;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&lt;h2&gt;Curso de Runas&lt;/h2&gt;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&lt;p&gt;Conheça os mistérios das runas e seu poder de orientação espiritual.&lt;/p&gt;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&lt;a class="botao-comprar" href="#"&gt;Adquirir acesso (1 ano)&lt;/a&gt;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&lt;section id="pintura" class="curso"&gt;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&lt;h2&gt;Oficina de Pintura Terapêutica&lt;/h2&gt;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&lt;p&gt;Use a arte como caminho de cura e expressão interior.&lt;/p&gt;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&lt;a class="botao-comprar" href="#"&gt;Adquirir acesso (1 ano)&lt;/a&gt;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&lt;section id="oficinas" class="curso"&gt;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&lt;h2&gt;Criação de Velas, Perfumes e Cremes&lt;/h2&gt;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&lt;p&gt;Aprenda a criar produtos artesanais com energia e intenção.&lt;/p&gt;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&lt;a class="botao-comprar" href="#"&gt;Adquirir acesso (1 ano)&lt;/a&gt;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&lt;section id="convidados" class="curso"&gt;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&lt;h2&gt;Aulas com Convidados&lt;/h2&gt;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&lt;p&gt;Aprofunde seus estudos com professores especiais.&lt;/p&gt;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&lt;a class="botao-comprar" href="#"&gt;Adquirir acesso (1 ano)&lt;/a&gt;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&lt;p&gt;&amp;copy; 2025 Orientarô. Todos os direitos reservados.&lt;/p&gt;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&lt;p&gt;Acesso por 1 ano. Renovável após o término.&lt;/p&gt;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